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6E23" w14:textId="77777777" w:rsidR="008C7ECE" w:rsidRPr="00DF14E3" w:rsidRDefault="008C7ECE" w:rsidP="00636A55">
      <w:pPr>
        <w:pStyle w:val="TM1"/>
        <w:tabs>
          <w:tab w:val="clear" w:pos="426"/>
          <w:tab w:val="clear" w:pos="851"/>
          <w:tab w:val="clear" w:pos="9299"/>
        </w:tabs>
        <w:spacing w:before="0"/>
        <w:rPr>
          <w:rFonts w:asciiTheme="minorHAnsi" w:hAnsiTheme="minorHAnsi"/>
        </w:rPr>
      </w:pPr>
    </w:p>
    <w:p w14:paraId="6722F394" w14:textId="77777777" w:rsidR="008C7ECE" w:rsidRPr="00DF14E3"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42E75DD1" w14:textId="77777777" w:rsidR="004A64B1" w:rsidRPr="00DF14E3"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4106E7BA" w14:textId="77777777" w:rsidR="00AA05E1" w:rsidRPr="00DF14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 xml:space="preserve">Contrat relatif à la maintenance de matériel informatique et à l’entretien de logiciels </w:t>
      </w:r>
    </w:p>
    <w:p w14:paraId="40F4AB61" w14:textId="77777777" w:rsidR="008C7ECE" w:rsidRPr="00DF14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Pr>
          <w:rFonts w:asciiTheme="minorHAnsi" w:hAnsiTheme="minorHAnsi"/>
        </w:rPr>
        <w:t>(y c. prestations d’assistance)</w:t>
      </w:r>
    </w:p>
    <w:p w14:paraId="055F75CB" w14:textId="77777777" w:rsidR="00DF7101" w:rsidRPr="00DF14E3"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A36A026"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entre</w:t>
      </w:r>
    </w:p>
    <w:p w14:paraId="5CAA9C82"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84304BD" w14:textId="77777777" w:rsidR="008C7ECE" w:rsidRPr="00DF14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5E199482"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166334DE"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le bénéficiaire de prestations</w:t>
      </w:r>
      <w:r>
        <w:rPr>
          <w:rFonts w:asciiTheme="minorHAnsi" w:hAnsiTheme="minorHAnsi"/>
        </w:rPr>
        <w:t xml:space="preserve"> (= acheteur)</w:t>
      </w:r>
    </w:p>
    <w:p w14:paraId="76EFE2DD"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BDF3DA8"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 xml:space="preserve">et </w:t>
      </w:r>
    </w:p>
    <w:p w14:paraId="6E4D3C28"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409BA8D" w14:textId="77777777" w:rsidR="008C7ECE" w:rsidRPr="00DF14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24467BFB"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F0F0DF9"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le prestataire</w:t>
      </w:r>
      <w:r>
        <w:rPr>
          <w:rFonts w:asciiTheme="minorHAnsi" w:hAnsiTheme="minorHAnsi"/>
        </w:rPr>
        <w:t xml:space="preserve"> (= fournisseur)</w:t>
      </w:r>
    </w:p>
    <w:p w14:paraId="3F97CF5E" w14:textId="77777777" w:rsidR="00B02596" w:rsidRPr="00DF14E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3DFB0EAF" w14:textId="77777777" w:rsidR="00B02596" w:rsidRPr="00DF14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concernant :</w:t>
      </w:r>
    </w:p>
    <w:p w14:paraId="636F18A1" w14:textId="77777777" w:rsidR="00342D99" w:rsidRPr="00DF14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3810B626" w14:textId="77777777" w:rsidR="00342D99" w:rsidRPr="00DF14E3"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insérer le titre</w:t>
      </w:r>
      <w:r>
        <w:rPr>
          <w:rFonts w:asciiTheme="minorHAnsi" w:hAnsiTheme="minorHAnsi"/>
          <w:highlight w:val="yellow"/>
        </w:rPr>
        <w:t>…</w:t>
      </w:r>
      <w:r>
        <w:rPr>
          <w:rFonts w:asciiTheme="minorHAnsi" w:hAnsiTheme="minorHAnsi"/>
        </w:rPr>
        <w:t>]</w:t>
      </w:r>
    </w:p>
    <w:p w14:paraId="7428AB97" w14:textId="77777777" w:rsidR="000B0977" w:rsidRPr="00DF14E3"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74BAD40" w14:textId="77777777" w:rsidR="004A64B1" w:rsidRPr="00DF14E3"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0D425196" w14:textId="77777777" w:rsidR="003E1951" w:rsidRPr="00DF14E3"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4409918" w14:textId="77777777" w:rsidR="004A64B1" w:rsidRPr="00DF14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D3E10FF" w14:textId="77777777" w:rsidR="004A64B1" w:rsidRPr="00DF14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Pr>
          <w:rFonts w:asciiTheme="minorHAnsi" w:hAnsiTheme="minorHAnsi"/>
          <w:b/>
        </w:rPr>
        <w:t>Table des matières :</w:t>
      </w:r>
    </w:p>
    <w:p w14:paraId="511EFA53" w14:textId="77777777" w:rsidR="004A64B1" w:rsidRPr="00DF14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09918C54" w14:textId="5131F7DE" w:rsidR="00CD6A3B" w:rsidRDefault="00CD6A3B">
      <w:pPr>
        <w:pStyle w:val="TM1"/>
        <w:rPr>
          <w:rFonts w:asciiTheme="minorHAnsi" w:eastAsiaTheme="minorEastAsia" w:hAnsiTheme="minorHAnsi" w:cstheme="minorBidi"/>
          <w:noProof/>
          <w:kern w:val="2"/>
          <w:sz w:val="24"/>
          <w:szCs w:val="24"/>
          <w:lang w:eastAsia="fr-CH"/>
          <w14:ligatures w14:val="standardContextual"/>
        </w:rPr>
      </w:pPr>
      <w:r w:rsidRPr="00DF14E3">
        <w:rPr>
          <w:rFonts w:asciiTheme="minorHAnsi" w:hAnsiTheme="minorHAnsi" w:cstheme="minorHAnsi"/>
          <w:lang w:val="de-CH"/>
        </w:rPr>
        <w:fldChar w:fldCharType="begin"/>
      </w:r>
      <w:r w:rsidR="004A64B1" w:rsidRPr="00DF14E3">
        <w:rPr>
          <w:rFonts w:asciiTheme="minorHAnsi" w:hAnsiTheme="minorHAnsi" w:cstheme="minorHAnsi"/>
          <w:lang w:val="de-CH"/>
        </w:rPr>
        <w:instrText xml:space="preserve"> TOC \o "1-2" \h \z \u </w:instrText>
      </w:r>
      <w:r w:rsidRPr="00DF14E3">
        <w:rPr>
          <w:rFonts w:asciiTheme="minorHAnsi" w:hAnsiTheme="minorHAnsi" w:cstheme="minorHAnsi"/>
          <w:lang w:val="de-CH"/>
        </w:rPr>
        <w:fldChar w:fldCharType="separate"/>
      </w:r>
      <w:hyperlink w:anchor="_Toc197703042" w:history="1">
        <w:r w:rsidRPr="006147D3">
          <w:rPr>
            <w:rStyle w:val="Lienhypertexte"/>
            <w:noProof/>
          </w:rPr>
          <w:t xml:space="preserve">1.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Objet du contrat</w:t>
        </w:r>
        <w:r>
          <w:rPr>
            <w:noProof/>
            <w:webHidden/>
          </w:rPr>
          <w:tab/>
        </w:r>
        <w:r>
          <w:rPr>
            <w:noProof/>
            <w:webHidden/>
          </w:rPr>
          <w:fldChar w:fldCharType="begin"/>
        </w:r>
        <w:r>
          <w:rPr>
            <w:noProof/>
            <w:webHidden/>
          </w:rPr>
          <w:instrText xml:space="preserve"> PAGEREF _Toc197703042 \h </w:instrText>
        </w:r>
        <w:r>
          <w:rPr>
            <w:noProof/>
            <w:webHidden/>
          </w:rPr>
        </w:r>
        <w:r>
          <w:rPr>
            <w:noProof/>
            <w:webHidden/>
          </w:rPr>
          <w:fldChar w:fldCharType="separate"/>
        </w:r>
        <w:r>
          <w:rPr>
            <w:noProof/>
            <w:webHidden/>
          </w:rPr>
          <w:t>2</w:t>
        </w:r>
        <w:r>
          <w:rPr>
            <w:noProof/>
            <w:webHidden/>
          </w:rPr>
          <w:fldChar w:fldCharType="end"/>
        </w:r>
      </w:hyperlink>
    </w:p>
    <w:p w14:paraId="2FC13940" w14:textId="255D2947"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3" w:history="1">
        <w:r w:rsidRPr="006147D3">
          <w:rPr>
            <w:rStyle w:val="Lienhypertexte"/>
            <w:noProof/>
          </w:rPr>
          <w:t xml:space="preserve">2.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Éléments constitutifs du contrat</w:t>
        </w:r>
        <w:r>
          <w:rPr>
            <w:noProof/>
            <w:webHidden/>
          </w:rPr>
          <w:tab/>
        </w:r>
        <w:r>
          <w:rPr>
            <w:noProof/>
            <w:webHidden/>
          </w:rPr>
          <w:fldChar w:fldCharType="begin"/>
        </w:r>
        <w:r>
          <w:rPr>
            <w:noProof/>
            <w:webHidden/>
          </w:rPr>
          <w:instrText xml:space="preserve"> PAGEREF _Toc197703043 \h </w:instrText>
        </w:r>
        <w:r>
          <w:rPr>
            <w:noProof/>
            <w:webHidden/>
          </w:rPr>
        </w:r>
        <w:r>
          <w:rPr>
            <w:noProof/>
            <w:webHidden/>
          </w:rPr>
          <w:fldChar w:fldCharType="separate"/>
        </w:r>
        <w:r>
          <w:rPr>
            <w:noProof/>
            <w:webHidden/>
          </w:rPr>
          <w:t>2</w:t>
        </w:r>
        <w:r>
          <w:rPr>
            <w:noProof/>
            <w:webHidden/>
          </w:rPr>
          <w:fldChar w:fldCharType="end"/>
        </w:r>
      </w:hyperlink>
    </w:p>
    <w:p w14:paraId="22BE11B6" w14:textId="6E7EBC41"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4" w:history="1">
        <w:r w:rsidRPr="006147D3">
          <w:rPr>
            <w:rStyle w:val="Lienhypertexte"/>
            <w:noProof/>
          </w:rPr>
          <w:t xml:space="preserve">3.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Annexes</w:t>
        </w:r>
        <w:r>
          <w:rPr>
            <w:noProof/>
            <w:webHidden/>
          </w:rPr>
          <w:tab/>
        </w:r>
        <w:r>
          <w:rPr>
            <w:noProof/>
            <w:webHidden/>
          </w:rPr>
          <w:fldChar w:fldCharType="begin"/>
        </w:r>
        <w:r>
          <w:rPr>
            <w:noProof/>
            <w:webHidden/>
          </w:rPr>
          <w:instrText xml:space="preserve"> PAGEREF _Toc197703044 \h </w:instrText>
        </w:r>
        <w:r>
          <w:rPr>
            <w:noProof/>
            <w:webHidden/>
          </w:rPr>
        </w:r>
        <w:r>
          <w:rPr>
            <w:noProof/>
            <w:webHidden/>
          </w:rPr>
          <w:fldChar w:fldCharType="separate"/>
        </w:r>
        <w:r>
          <w:rPr>
            <w:noProof/>
            <w:webHidden/>
          </w:rPr>
          <w:t>3</w:t>
        </w:r>
        <w:r>
          <w:rPr>
            <w:noProof/>
            <w:webHidden/>
          </w:rPr>
          <w:fldChar w:fldCharType="end"/>
        </w:r>
      </w:hyperlink>
    </w:p>
    <w:p w14:paraId="70BA3534" w14:textId="4BFA435C"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5" w:history="1">
        <w:r w:rsidRPr="006147D3">
          <w:rPr>
            <w:rStyle w:val="Lienhypertexte"/>
            <w:noProof/>
          </w:rPr>
          <w:t>4.</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Instruction</w:t>
        </w:r>
        <w:r>
          <w:rPr>
            <w:noProof/>
            <w:webHidden/>
          </w:rPr>
          <w:tab/>
        </w:r>
        <w:r>
          <w:rPr>
            <w:noProof/>
            <w:webHidden/>
          </w:rPr>
          <w:fldChar w:fldCharType="begin"/>
        </w:r>
        <w:r>
          <w:rPr>
            <w:noProof/>
            <w:webHidden/>
          </w:rPr>
          <w:instrText xml:space="preserve"> PAGEREF _Toc197703045 \h </w:instrText>
        </w:r>
        <w:r>
          <w:rPr>
            <w:noProof/>
            <w:webHidden/>
          </w:rPr>
        </w:r>
        <w:r>
          <w:rPr>
            <w:noProof/>
            <w:webHidden/>
          </w:rPr>
          <w:fldChar w:fldCharType="separate"/>
        </w:r>
        <w:r>
          <w:rPr>
            <w:noProof/>
            <w:webHidden/>
          </w:rPr>
          <w:t>3</w:t>
        </w:r>
        <w:r>
          <w:rPr>
            <w:noProof/>
            <w:webHidden/>
          </w:rPr>
          <w:fldChar w:fldCharType="end"/>
        </w:r>
      </w:hyperlink>
    </w:p>
    <w:p w14:paraId="3297EDAC" w14:textId="4B0AB361"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6" w:history="1">
        <w:r w:rsidRPr="006147D3">
          <w:rPr>
            <w:rStyle w:val="Lienhypertexte"/>
            <w:noProof/>
          </w:rPr>
          <w:t>5.</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Collaboration du bénéficiaire de prestations</w:t>
        </w:r>
        <w:r>
          <w:rPr>
            <w:noProof/>
            <w:webHidden/>
          </w:rPr>
          <w:tab/>
        </w:r>
        <w:r>
          <w:rPr>
            <w:noProof/>
            <w:webHidden/>
          </w:rPr>
          <w:fldChar w:fldCharType="begin"/>
        </w:r>
        <w:r>
          <w:rPr>
            <w:noProof/>
            <w:webHidden/>
          </w:rPr>
          <w:instrText xml:space="preserve"> PAGEREF _Toc197703046 \h </w:instrText>
        </w:r>
        <w:r>
          <w:rPr>
            <w:noProof/>
            <w:webHidden/>
          </w:rPr>
        </w:r>
        <w:r>
          <w:rPr>
            <w:noProof/>
            <w:webHidden/>
          </w:rPr>
          <w:fldChar w:fldCharType="separate"/>
        </w:r>
        <w:r>
          <w:rPr>
            <w:noProof/>
            <w:webHidden/>
          </w:rPr>
          <w:t>3</w:t>
        </w:r>
        <w:r>
          <w:rPr>
            <w:noProof/>
            <w:webHidden/>
          </w:rPr>
          <w:fldChar w:fldCharType="end"/>
        </w:r>
      </w:hyperlink>
    </w:p>
    <w:p w14:paraId="0985BAFA" w14:textId="31320226"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7" w:history="1">
        <w:r w:rsidRPr="006147D3">
          <w:rPr>
            <w:rStyle w:val="Lienhypertexte"/>
            <w:noProof/>
          </w:rPr>
          <w:t xml:space="preserve">6.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Rémunération</w:t>
        </w:r>
        <w:r>
          <w:rPr>
            <w:noProof/>
            <w:webHidden/>
          </w:rPr>
          <w:tab/>
        </w:r>
        <w:r>
          <w:rPr>
            <w:noProof/>
            <w:webHidden/>
          </w:rPr>
          <w:fldChar w:fldCharType="begin"/>
        </w:r>
        <w:r>
          <w:rPr>
            <w:noProof/>
            <w:webHidden/>
          </w:rPr>
          <w:instrText xml:space="preserve"> PAGEREF _Toc197703047 \h </w:instrText>
        </w:r>
        <w:r>
          <w:rPr>
            <w:noProof/>
            <w:webHidden/>
          </w:rPr>
        </w:r>
        <w:r>
          <w:rPr>
            <w:noProof/>
            <w:webHidden/>
          </w:rPr>
          <w:fldChar w:fldCharType="separate"/>
        </w:r>
        <w:r>
          <w:rPr>
            <w:noProof/>
            <w:webHidden/>
          </w:rPr>
          <w:t>4</w:t>
        </w:r>
        <w:r>
          <w:rPr>
            <w:noProof/>
            <w:webHidden/>
          </w:rPr>
          <w:fldChar w:fldCharType="end"/>
        </w:r>
      </w:hyperlink>
    </w:p>
    <w:p w14:paraId="6A62B3FA" w14:textId="6D4C149E"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8" w:history="1">
        <w:r w:rsidRPr="006147D3">
          <w:rPr>
            <w:rStyle w:val="Lienhypertexte"/>
            <w:noProof/>
          </w:rPr>
          <w:t xml:space="preserve">7.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Adresse de facturation</w:t>
        </w:r>
        <w:r>
          <w:rPr>
            <w:noProof/>
            <w:webHidden/>
          </w:rPr>
          <w:tab/>
        </w:r>
        <w:r>
          <w:rPr>
            <w:noProof/>
            <w:webHidden/>
          </w:rPr>
          <w:fldChar w:fldCharType="begin"/>
        </w:r>
        <w:r>
          <w:rPr>
            <w:noProof/>
            <w:webHidden/>
          </w:rPr>
          <w:instrText xml:space="preserve"> PAGEREF _Toc197703048 \h </w:instrText>
        </w:r>
        <w:r>
          <w:rPr>
            <w:noProof/>
            <w:webHidden/>
          </w:rPr>
        </w:r>
        <w:r>
          <w:rPr>
            <w:noProof/>
            <w:webHidden/>
          </w:rPr>
          <w:fldChar w:fldCharType="separate"/>
        </w:r>
        <w:r>
          <w:rPr>
            <w:noProof/>
            <w:webHidden/>
          </w:rPr>
          <w:t>4</w:t>
        </w:r>
        <w:r>
          <w:rPr>
            <w:noProof/>
            <w:webHidden/>
          </w:rPr>
          <w:fldChar w:fldCharType="end"/>
        </w:r>
      </w:hyperlink>
    </w:p>
    <w:p w14:paraId="679F6FA2" w14:textId="6BA86C9F"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49" w:history="1">
        <w:r w:rsidRPr="006147D3">
          <w:rPr>
            <w:rStyle w:val="Lienhypertexte"/>
            <w:noProof/>
          </w:rPr>
          <w:t xml:space="preserve">8.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Interlocuteurs</w:t>
        </w:r>
        <w:r>
          <w:rPr>
            <w:noProof/>
            <w:webHidden/>
          </w:rPr>
          <w:tab/>
        </w:r>
        <w:r>
          <w:rPr>
            <w:noProof/>
            <w:webHidden/>
          </w:rPr>
          <w:fldChar w:fldCharType="begin"/>
        </w:r>
        <w:r>
          <w:rPr>
            <w:noProof/>
            <w:webHidden/>
          </w:rPr>
          <w:instrText xml:space="preserve"> PAGEREF _Toc197703049 \h </w:instrText>
        </w:r>
        <w:r>
          <w:rPr>
            <w:noProof/>
            <w:webHidden/>
          </w:rPr>
        </w:r>
        <w:r>
          <w:rPr>
            <w:noProof/>
            <w:webHidden/>
          </w:rPr>
          <w:fldChar w:fldCharType="separate"/>
        </w:r>
        <w:r>
          <w:rPr>
            <w:noProof/>
            <w:webHidden/>
          </w:rPr>
          <w:t>5</w:t>
        </w:r>
        <w:r>
          <w:rPr>
            <w:noProof/>
            <w:webHidden/>
          </w:rPr>
          <w:fldChar w:fldCharType="end"/>
        </w:r>
      </w:hyperlink>
    </w:p>
    <w:p w14:paraId="6A8A96AE" w14:textId="2379477A"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0" w:history="1">
        <w:r w:rsidRPr="006147D3">
          <w:rPr>
            <w:rStyle w:val="Lienhypertexte"/>
            <w:noProof/>
          </w:rPr>
          <w:t>9.</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Lieu d’exécution</w:t>
        </w:r>
        <w:r>
          <w:rPr>
            <w:noProof/>
            <w:webHidden/>
          </w:rPr>
          <w:tab/>
        </w:r>
        <w:r>
          <w:rPr>
            <w:noProof/>
            <w:webHidden/>
          </w:rPr>
          <w:fldChar w:fldCharType="begin"/>
        </w:r>
        <w:r>
          <w:rPr>
            <w:noProof/>
            <w:webHidden/>
          </w:rPr>
          <w:instrText xml:space="preserve"> PAGEREF _Toc197703050 \h </w:instrText>
        </w:r>
        <w:r>
          <w:rPr>
            <w:noProof/>
            <w:webHidden/>
          </w:rPr>
        </w:r>
        <w:r>
          <w:rPr>
            <w:noProof/>
            <w:webHidden/>
          </w:rPr>
          <w:fldChar w:fldCharType="separate"/>
        </w:r>
        <w:r>
          <w:rPr>
            <w:noProof/>
            <w:webHidden/>
          </w:rPr>
          <w:t>5</w:t>
        </w:r>
        <w:r>
          <w:rPr>
            <w:noProof/>
            <w:webHidden/>
          </w:rPr>
          <w:fldChar w:fldCharType="end"/>
        </w:r>
      </w:hyperlink>
    </w:p>
    <w:p w14:paraId="61C38293" w14:textId="45DB1C16"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1" w:history="1">
        <w:r w:rsidRPr="006147D3">
          <w:rPr>
            <w:rStyle w:val="Lienhypertexte"/>
            <w:noProof/>
          </w:rPr>
          <w:t>10.</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Modalités de réception</w:t>
        </w:r>
        <w:r>
          <w:rPr>
            <w:noProof/>
            <w:webHidden/>
          </w:rPr>
          <w:tab/>
        </w:r>
        <w:r>
          <w:rPr>
            <w:noProof/>
            <w:webHidden/>
          </w:rPr>
          <w:fldChar w:fldCharType="begin"/>
        </w:r>
        <w:r>
          <w:rPr>
            <w:noProof/>
            <w:webHidden/>
          </w:rPr>
          <w:instrText xml:space="preserve"> PAGEREF _Toc197703051 \h </w:instrText>
        </w:r>
        <w:r>
          <w:rPr>
            <w:noProof/>
            <w:webHidden/>
          </w:rPr>
        </w:r>
        <w:r>
          <w:rPr>
            <w:noProof/>
            <w:webHidden/>
          </w:rPr>
          <w:fldChar w:fldCharType="separate"/>
        </w:r>
        <w:r>
          <w:rPr>
            <w:noProof/>
            <w:webHidden/>
          </w:rPr>
          <w:t>6</w:t>
        </w:r>
        <w:r>
          <w:rPr>
            <w:noProof/>
            <w:webHidden/>
          </w:rPr>
          <w:fldChar w:fldCharType="end"/>
        </w:r>
      </w:hyperlink>
    </w:p>
    <w:p w14:paraId="24753ACA" w14:textId="604E1C1C"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2" w:history="1">
        <w:r w:rsidRPr="006147D3">
          <w:rPr>
            <w:rStyle w:val="Lienhypertexte"/>
            <w:noProof/>
          </w:rPr>
          <w:t>11.</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Durée du contrat</w:t>
        </w:r>
        <w:r>
          <w:rPr>
            <w:noProof/>
            <w:webHidden/>
          </w:rPr>
          <w:tab/>
        </w:r>
        <w:r>
          <w:rPr>
            <w:noProof/>
            <w:webHidden/>
          </w:rPr>
          <w:fldChar w:fldCharType="begin"/>
        </w:r>
        <w:r>
          <w:rPr>
            <w:noProof/>
            <w:webHidden/>
          </w:rPr>
          <w:instrText xml:space="preserve"> PAGEREF _Toc197703052 \h </w:instrText>
        </w:r>
        <w:r>
          <w:rPr>
            <w:noProof/>
            <w:webHidden/>
          </w:rPr>
        </w:r>
        <w:r>
          <w:rPr>
            <w:noProof/>
            <w:webHidden/>
          </w:rPr>
          <w:fldChar w:fldCharType="separate"/>
        </w:r>
        <w:r>
          <w:rPr>
            <w:noProof/>
            <w:webHidden/>
          </w:rPr>
          <w:t>6</w:t>
        </w:r>
        <w:r>
          <w:rPr>
            <w:noProof/>
            <w:webHidden/>
          </w:rPr>
          <w:fldChar w:fldCharType="end"/>
        </w:r>
      </w:hyperlink>
    </w:p>
    <w:p w14:paraId="405D14C0" w14:textId="0352AB9C"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3" w:history="1">
        <w:r w:rsidRPr="006147D3">
          <w:rPr>
            <w:rStyle w:val="Lienhypertexte"/>
            <w:noProof/>
          </w:rPr>
          <w:t>12.</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Heures d’exploitation, temps de réaction et temps de réparation des dysfonctionnements, disponibilité</w:t>
        </w:r>
        <w:r>
          <w:rPr>
            <w:noProof/>
            <w:webHidden/>
          </w:rPr>
          <w:tab/>
        </w:r>
        <w:r>
          <w:rPr>
            <w:noProof/>
            <w:webHidden/>
          </w:rPr>
          <w:fldChar w:fldCharType="begin"/>
        </w:r>
        <w:r>
          <w:rPr>
            <w:noProof/>
            <w:webHidden/>
          </w:rPr>
          <w:instrText xml:space="preserve"> PAGEREF _Toc197703053 \h </w:instrText>
        </w:r>
        <w:r>
          <w:rPr>
            <w:noProof/>
            <w:webHidden/>
          </w:rPr>
        </w:r>
        <w:r>
          <w:rPr>
            <w:noProof/>
            <w:webHidden/>
          </w:rPr>
          <w:fldChar w:fldCharType="separate"/>
        </w:r>
        <w:r>
          <w:rPr>
            <w:noProof/>
            <w:webHidden/>
          </w:rPr>
          <w:t>7</w:t>
        </w:r>
        <w:r>
          <w:rPr>
            <w:noProof/>
            <w:webHidden/>
          </w:rPr>
          <w:fldChar w:fldCharType="end"/>
        </w:r>
      </w:hyperlink>
    </w:p>
    <w:p w14:paraId="4DF1DA86" w14:textId="11F7608B"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4" w:history="1">
        <w:r w:rsidRPr="006147D3">
          <w:rPr>
            <w:rStyle w:val="Lienhypertexte"/>
            <w:noProof/>
          </w:rPr>
          <w:t>13.</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Prestations d’assistance</w:t>
        </w:r>
        <w:r>
          <w:rPr>
            <w:noProof/>
            <w:webHidden/>
          </w:rPr>
          <w:tab/>
        </w:r>
        <w:r>
          <w:rPr>
            <w:noProof/>
            <w:webHidden/>
          </w:rPr>
          <w:fldChar w:fldCharType="begin"/>
        </w:r>
        <w:r>
          <w:rPr>
            <w:noProof/>
            <w:webHidden/>
          </w:rPr>
          <w:instrText xml:space="preserve"> PAGEREF _Toc197703054 \h </w:instrText>
        </w:r>
        <w:r>
          <w:rPr>
            <w:noProof/>
            <w:webHidden/>
          </w:rPr>
        </w:r>
        <w:r>
          <w:rPr>
            <w:noProof/>
            <w:webHidden/>
          </w:rPr>
          <w:fldChar w:fldCharType="separate"/>
        </w:r>
        <w:r>
          <w:rPr>
            <w:noProof/>
            <w:webHidden/>
          </w:rPr>
          <w:t>8</w:t>
        </w:r>
        <w:r>
          <w:rPr>
            <w:noProof/>
            <w:webHidden/>
          </w:rPr>
          <w:fldChar w:fldCharType="end"/>
        </w:r>
      </w:hyperlink>
    </w:p>
    <w:p w14:paraId="5259192D" w14:textId="37EE3FB6"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5" w:history="1">
        <w:r w:rsidRPr="006147D3">
          <w:rPr>
            <w:rStyle w:val="Lienhypertexte"/>
            <w:noProof/>
          </w:rPr>
          <w:t>14.</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Accords spéciaux</w:t>
        </w:r>
        <w:r>
          <w:rPr>
            <w:noProof/>
            <w:webHidden/>
          </w:rPr>
          <w:tab/>
        </w:r>
        <w:r>
          <w:rPr>
            <w:noProof/>
            <w:webHidden/>
          </w:rPr>
          <w:fldChar w:fldCharType="begin"/>
        </w:r>
        <w:r>
          <w:rPr>
            <w:noProof/>
            <w:webHidden/>
          </w:rPr>
          <w:instrText xml:space="preserve"> PAGEREF _Toc197703055 \h </w:instrText>
        </w:r>
        <w:r>
          <w:rPr>
            <w:noProof/>
            <w:webHidden/>
          </w:rPr>
        </w:r>
        <w:r>
          <w:rPr>
            <w:noProof/>
            <w:webHidden/>
          </w:rPr>
          <w:fldChar w:fldCharType="separate"/>
        </w:r>
        <w:r>
          <w:rPr>
            <w:noProof/>
            <w:webHidden/>
          </w:rPr>
          <w:t>8</w:t>
        </w:r>
        <w:r>
          <w:rPr>
            <w:noProof/>
            <w:webHidden/>
          </w:rPr>
          <w:fldChar w:fldCharType="end"/>
        </w:r>
      </w:hyperlink>
    </w:p>
    <w:p w14:paraId="3F27ACAA" w14:textId="1F0603D2" w:rsidR="00CD6A3B" w:rsidRDefault="00CD6A3B">
      <w:pPr>
        <w:pStyle w:val="TM1"/>
        <w:rPr>
          <w:rFonts w:asciiTheme="minorHAnsi" w:eastAsiaTheme="minorEastAsia" w:hAnsiTheme="minorHAnsi" w:cstheme="minorBidi"/>
          <w:noProof/>
          <w:kern w:val="2"/>
          <w:sz w:val="24"/>
          <w:szCs w:val="24"/>
          <w:lang w:eastAsia="fr-CH"/>
          <w14:ligatures w14:val="standardContextual"/>
        </w:rPr>
      </w:pPr>
      <w:hyperlink w:anchor="_Toc197703056" w:history="1">
        <w:r w:rsidRPr="006147D3">
          <w:rPr>
            <w:rStyle w:val="Lienhypertexte"/>
            <w:noProof/>
          </w:rPr>
          <w:t xml:space="preserve">15. </w:t>
        </w:r>
        <w:r>
          <w:rPr>
            <w:rFonts w:asciiTheme="minorHAnsi" w:eastAsiaTheme="minorEastAsia" w:hAnsiTheme="minorHAnsi" w:cstheme="minorBidi"/>
            <w:noProof/>
            <w:kern w:val="2"/>
            <w:sz w:val="24"/>
            <w:szCs w:val="24"/>
            <w:lang w:eastAsia="fr-CH"/>
            <w14:ligatures w14:val="standardContextual"/>
          </w:rPr>
          <w:tab/>
        </w:r>
        <w:r w:rsidRPr="006147D3">
          <w:rPr>
            <w:rStyle w:val="Lienhypertexte"/>
            <w:noProof/>
          </w:rPr>
          <w:t>Dispositions finales</w:t>
        </w:r>
        <w:r>
          <w:rPr>
            <w:noProof/>
            <w:webHidden/>
          </w:rPr>
          <w:tab/>
        </w:r>
        <w:r>
          <w:rPr>
            <w:noProof/>
            <w:webHidden/>
          </w:rPr>
          <w:fldChar w:fldCharType="begin"/>
        </w:r>
        <w:r>
          <w:rPr>
            <w:noProof/>
            <w:webHidden/>
          </w:rPr>
          <w:instrText xml:space="preserve"> PAGEREF _Toc197703056 \h </w:instrText>
        </w:r>
        <w:r>
          <w:rPr>
            <w:noProof/>
            <w:webHidden/>
          </w:rPr>
        </w:r>
        <w:r>
          <w:rPr>
            <w:noProof/>
            <w:webHidden/>
          </w:rPr>
          <w:fldChar w:fldCharType="separate"/>
        </w:r>
        <w:r>
          <w:rPr>
            <w:noProof/>
            <w:webHidden/>
          </w:rPr>
          <w:t>9</w:t>
        </w:r>
        <w:r>
          <w:rPr>
            <w:noProof/>
            <w:webHidden/>
          </w:rPr>
          <w:fldChar w:fldCharType="end"/>
        </w:r>
      </w:hyperlink>
    </w:p>
    <w:p w14:paraId="4CB792F1" w14:textId="7017BD03" w:rsidR="00E03C7D" w:rsidRDefault="00CD6A3B">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de-CH"/>
        </w:rPr>
      </w:pPr>
      <w:r w:rsidRPr="00DF14E3">
        <w:rPr>
          <w:rFonts w:asciiTheme="minorHAnsi" w:hAnsiTheme="minorHAnsi" w:cstheme="minorHAnsi"/>
          <w:lang w:val="de-CH"/>
        </w:rPr>
        <w:fldChar w:fldCharType="end"/>
      </w:r>
    </w:p>
    <w:p w14:paraId="398D03F0" w14:textId="77777777" w:rsidR="004A64B1" w:rsidRPr="00DF14E3"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Pr>
          <w:rFonts w:asciiTheme="minorHAnsi" w:hAnsiTheme="minorHAnsi"/>
        </w:rPr>
        <w:br w:type="page"/>
      </w:r>
    </w:p>
    <w:p w14:paraId="71DCE69A" w14:textId="77777777" w:rsidR="008C7ECE" w:rsidRPr="00DF14E3" w:rsidRDefault="008C7ECE" w:rsidP="000B0977">
      <w:pPr>
        <w:pStyle w:val="SIK-berschrift1"/>
      </w:pPr>
      <w:bookmarkStart w:id="0" w:name="_Toc197703042"/>
      <w:r>
        <w:lastRenderedPageBreak/>
        <w:t xml:space="preserve">1. </w:t>
      </w:r>
      <w:r>
        <w:tab/>
        <w:t>Objet du contrat</w:t>
      </w:r>
      <w:bookmarkEnd w:id="0"/>
    </w:p>
    <w:p w14:paraId="428788AC" w14:textId="77777777"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prestataire s’engage, contre rémunération, à exécuter la maintenance du matériel informatique et l’entretien du logiciel faisant l’objet du présent contrat et à fournir les prestations correspondantes dans les volumes suivants :</w:t>
      </w:r>
    </w:p>
    <w:p w14:paraId="64930985" w14:textId="77777777" w:rsidR="00A606D8" w:rsidRPr="00DF14E3"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 xml:space="preserve">…Décrire en détail le matériel informatique à maintenir et le logiciel à entretenir ainsi que le volume des prestations requises à cet effet, ou en faire une description succincte et renvoyer à la description complète et cohérente figurant dans l’offre / la demande d’offres en indiquant la source pertinente, ou faire une description exhaustive dans l’annexe « Spécification des prestations contractuelles ». Les marchés de grande envergure nécessitent la conclusion d’un accord de niveau de service qui fixe des critères de prestations précis et des indicateurs clairs (par ex. heures d’exploitation, temps de réaction ou de réparation des dysfonctionnements, disponibilité, peines conventionnelles, système de malus et de bonus) et qui prend le plus souvent la forme d’une annexe distincte. </w:t>
      </w:r>
    </w:p>
    <w:p w14:paraId="77E127C0" w14:textId="77777777" w:rsidR="00BD11C4" w:rsidRPr="00DF14E3" w:rsidRDefault="00BD11C4"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Mentionner les garanties (par ex. au moins une mise à jour majeure par an) qui ne sont pas incluses dans l’annexe « Spécification des prestations contractuelles ».</w:t>
      </w:r>
    </w:p>
    <w:p w14:paraId="13BEFB4C" w14:textId="77777777" w:rsidR="003A3A1A" w:rsidRPr="00DF14E3"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 xml:space="preserve">Mentionner, au besoin, d’autres différences par rapport à des prestations dont le prestataire n’est pas tenu de s’acquitter… </w:t>
      </w:r>
    </w:p>
    <w:p w14:paraId="20BB408B" w14:textId="77777777" w:rsidR="003A3A1A" w:rsidRPr="00DF14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Fac (extension des fonctionnalités du logiciel)</w:t>
      </w:r>
    </w:p>
    <w:p w14:paraId="4AA7D53C" w14:textId="77777777" w:rsidR="00A77B41" w:rsidRPr="00DF14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Le ch. 32.1 des CG 2025 de l’ANS est précisé en ce sens que toute extension de fonctionnalités [, notamment …</w:t>
      </w:r>
      <w:r>
        <w:rPr>
          <w:rFonts w:asciiTheme="minorHAnsi" w:hAnsiTheme="minorHAnsi"/>
          <w:i/>
          <w:highlight w:val="yellow"/>
        </w:rPr>
        <w:t xml:space="preserve">énumération des extensions concernées ou renvoi à la réglementation prévue à ce sujet dans l’offre / le cahier des charges / les annexes « Spécification des prestations contractuelles » et « Accord de niveau de service » par suite de modifications légales / de modifications de la pratique commerciale / de la mise à jour des systèmes périphériques utilisés, de logiciels tiers ou autres modifications similaires... </w:t>
      </w:r>
      <w:r>
        <w:rPr>
          <w:rFonts w:asciiTheme="minorHAnsi" w:hAnsiTheme="minorHAnsi"/>
          <w:highlight w:val="yellow"/>
        </w:rPr>
        <w:t>] [est payante et constitue une modification des prestations au sens du ch.  14 des CG 2025 de l’ANS nécessitant la conclusion d’un avenant au présent contrat / est incluse dans le présent contrat et n’est pas rémunérée de manière distincte].</w:t>
      </w:r>
    </w:p>
    <w:p w14:paraId="23AC363E" w14:textId="77777777" w:rsidR="008C7ECE" w:rsidRPr="00DF14E3" w:rsidRDefault="008C7ECE" w:rsidP="000B0977">
      <w:pPr>
        <w:pStyle w:val="SIK-berschrift1"/>
      </w:pPr>
      <w:bookmarkStart w:id="1" w:name="_Toc197703043"/>
      <w:r>
        <w:t xml:space="preserve">2. </w:t>
      </w:r>
      <w:r>
        <w:tab/>
        <w:t>Éléments constitutifs du contrat</w:t>
      </w:r>
      <w:bookmarkEnd w:id="1"/>
    </w:p>
    <w:p w14:paraId="20A99B07" w14:textId="77777777"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contrat est constitué, dans l’ordre, des éléments suivants :</w:t>
      </w:r>
    </w:p>
    <w:p w14:paraId="25AD1F5B" w14:textId="77777777" w:rsidR="005E61E4" w:rsidRPr="00DF14E3"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 xml:space="preserve">le présent document ; </w:t>
      </w:r>
    </w:p>
    <w:p w14:paraId="7D98A84B" w14:textId="77777777" w:rsidR="00272432"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les annexes mentionnées au ch. 3 ;</w:t>
      </w:r>
    </w:p>
    <w:p w14:paraId="647D34F6" w14:textId="77777777" w:rsidR="008C7ECE"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les conditions générales de l’ANS pour les prestations TIC, édition de mars 2025 (ci-après « CG 2025 de l’ANS ») ;</w:t>
      </w:r>
    </w:p>
    <w:p w14:paraId="3265BAFA" w14:textId="77777777" w:rsidR="008C7ECE"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l’offre du prestataire du </w:t>
      </w:r>
      <w:r>
        <w:rPr>
          <w:rFonts w:asciiTheme="minorHAnsi" w:hAnsiTheme="minorHAnsi"/>
          <w:highlight w:val="yellow"/>
        </w:rPr>
        <w:t>[...] ;</w:t>
      </w:r>
    </w:p>
    <w:p w14:paraId="03C2DB18" w14:textId="77777777" w:rsidR="008C7ECE"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demande d’offres / le cahier des charges]</w:t>
      </w:r>
      <w:r>
        <w:rPr>
          <w:rFonts w:asciiTheme="minorHAnsi" w:hAnsiTheme="minorHAnsi"/>
        </w:rPr>
        <w:t xml:space="preserve"> du bénéficiaire de prestations du </w:t>
      </w:r>
      <w:r>
        <w:rPr>
          <w:rFonts w:asciiTheme="minorHAnsi" w:hAnsiTheme="minorHAnsi"/>
          <w:highlight w:val="yellow"/>
        </w:rPr>
        <w:t>[...] ;</w:t>
      </w:r>
    </w:p>
    <w:p w14:paraId="655BEC20" w14:textId="77777777" w:rsidR="00326D44" w:rsidRPr="00DF14E3"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…mentionner les éventuels autres éléments pertinents pour le contrat et modifier l’ordre de priorité, si nécessaire…</w:t>
      </w:r>
      <w:r>
        <w:rPr>
          <w:rFonts w:asciiTheme="minorHAnsi" w:hAnsiTheme="minorHAnsi"/>
          <w:highlight w:val="yellow"/>
        </w:rPr>
        <w:t>]</w:t>
      </w:r>
    </w:p>
    <w:p w14:paraId="127E819D" w14:textId="77777777" w:rsidR="008C7ECE" w:rsidRPr="00DF14E3"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parties contractantes confirment être en possession des éléments constitutifs du contrat. Les conditions générales du prestataire ne s’appliquent pas.</w:t>
      </w:r>
    </w:p>
    <w:p w14:paraId="1A3F0C6D" w14:textId="77777777" w:rsidR="00A9375E" w:rsidRPr="00DF14E3" w:rsidRDefault="005F0A2C" w:rsidP="000B0977">
      <w:pPr>
        <w:pStyle w:val="SIK-berschrift1"/>
      </w:pPr>
      <w:bookmarkStart w:id="2" w:name="_Toc197703044"/>
      <w:r>
        <w:lastRenderedPageBreak/>
        <w:t xml:space="preserve">3. </w:t>
      </w:r>
      <w:r>
        <w:tab/>
        <w:t>Annexes</w:t>
      </w:r>
      <w:bookmarkEnd w:id="2"/>
    </w:p>
    <w:p w14:paraId="7FCC6166" w14:textId="77777777" w:rsidR="000051C8" w:rsidRPr="00DF14E3"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présent contrat comprend les annexes suivantes :</w:t>
      </w:r>
    </w:p>
    <w:p w14:paraId="5EC181E9" w14:textId="77777777" w:rsidR="00761020" w:rsidRPr="00DF14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[Aucune. /…</w:t>
      </w:r>
      <w:r>
        <w:rPr>
          <w:rFonts w:asciiTheme="minorHAnsi" w:hAnsiTheme="minorHAnsi"/>
          <w:i/>
          <w:highlight w:val="yellow"/>
        </w:rPr>
        <w:t>énumérer ici toutes les annexes effectivement utilisées, par exemple…</w:t>
      </w:r>
      <w:r>
        <w:rPr>
          <w:rFonts w:asciiTheme="minorHAnsi" w:hAnsiTheme="minorHAnsi"/>
          <w:highlight w:val="yellow"/>
        </w:rPr>
        <w:t xml:space="preserve"> </w:t>
      </w:r>
    </w:p>
    <w:p w14:paraId="40A1AB39" w14:textId="77777777" w:rsidR="000051C8" w:rsidRPr="00DF14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Spécification des prestations contractuelles ;</w:t>
      </w:r>
    </w:p>
    <w:p w14:paraId="153292E9" w14:textId="77777777" w:rsidR="005E61E4" w:rsidRPr="00DF14E3"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 de niveau de service ;</w:t>
      </w:r>
    </w:p>
    <w:p w14:paraId="503AA905" w14:textId="77777777" w:rsidR="008A0334" w:rsidRPr="00DF14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Rémunération ; </w:t>
      </w:r>
    </w:p>
    <w:p w14:paraId="7572FD61" w14:textId="77777777" w:rsidR="00B065E2" w:rsidRPr="00DF14E3"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Modalités de réception ;</w:t>
      </w:r>
    </w:p>
    <w:p w14:paraId="576F66E7" w14:textId="77777777" w:rsidR="001E15FF" w:rsidRPr="00DF14E3"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 de confidentialité ;</w:t>
      </w:r>
    </w:p>
    <w:p w14:paraId="67CB7EB6" w14:textId="77777777" w:rsidR="001E15FF" w:rsidRPr="00DF14E3"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annexe 6</w:t>
      </w:r>
      <w:r>
        <w:rPr>
          <w:rFonts w:asciiTheme="minorHAnsi" w:hAnsiTheme="minorHAnsi"/>
          <w:highlight w:val="yellow"/>
        </w:rPr>
        <w:tab/>
        <w:t xml:space="preserve">Accord sur le traitement des données dans le cadre du mandat ; </w:t>
      </w:r>
      <w:r>
        <w:rPr>
          <w:rFonts w:asciiTheme="minorHAnsi" w:hAnsiTheme="minorHAnsi"/>
          <w:i/>
          <w:highlight w:val="yellow"/>
        </w:rPr>
        <w:t>[cet accord est nécessaire lorsque le prestataire a, dans le cadre de son mandat, accès à des données personnelles provenant du domaine d’activité du bénéficiaire de prestations.]</w:t>
      </w:r>
      <w:r>
        <w:rPr>
          <w:rFonts w:asciiTheme="minorHAnsi" w:hAnsiTheme="minorHAnsi"/>
          <w:highlight w:val="yellow"/>
        </w:rPr>
        <w:t xml:space="preserve"> </w:t>
      </w:r>
    </w:p>
    <w:p w14:paraId="04C9014F" w14:textId="77777777" w:rsidR="000051C8" w:rsidRPr="00DF14E3"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annexe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2E43EA79" w14:textId="77777777" w:rsidR="00DA2677" w:rsidRPr="00DF14E3" w:rsidRDefault="005F0A2C" w:rsidP="000B0977">
      <w:pPr>
        <w:pStyle w:val="SIK-berschrift1"/>
      </w:pPr>
      <w:bookmarkStart w:id="3" w:name="_Toc197703045"/>
      <w:r>
        <w:t>4.</w:t>
      </w:r>
      <w:r>
        <w:tab/>
        <w:t>Instruction</w:t>
      </w:r>
      <w:bookmarkEnd w:id="3"/>
    </w:p>
    <w:p w14:paraId="7E86F553" w14:textId="77777777" w:rsidR="00DA2677" w:rsidRPr="00DF14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En application du ch. 11 des CG 2025 de l’ANS, le prestataire s’engage à fournir les prestations d’instruction suivantes :</w:t>
      </w:r>
    </w:p>
    <w:p w14:paraId="1A7E7B66" w14:textId="77777777" w:rsidR="00AE404E" w:rsidRPr="00DF14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(dispositions de référence générales)</w:t>
      </w:r>
    </w:p>
    <w:p w14:paraId="0150B07B" w14:textId="77777777" w:rsidR="00AE404E" w:rsidRPr="00DF14E3" w:rsidRDefault="0092297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Le présent contrat inclut les nouvelles prestations d’instruction ou de formation qui naissent de la fourniture des prestations contractuelles par le prestataire et dont le bénéficiaire de prestations ou l’utilisateur a besoin. </w:t>
      </w:r>
    </w:p>
    <w:p w14:paraId="0F8F098C" w14:textId="77777777" w:rsidR="00AE404E" w:rsidRPr="00DF14E3"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(aucune)</w:t>
      </w:r>
    </w:p>
    <w:p w14:paraId="7D6DEF70" w14:textId="77777777" w:rsidR="00AE404E" w:rsidRPr="00DF14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Aucune instruction n’est requise, à l’exception d’une documentation destinée aux utilisateurs suffisamment claire et précise et régulièrement mise à jour.]</w:t>
      </w:r>
    </w:p>
    <w:p w14:paraId="7D878E23" w14:textId="77777777" w:rsidR="00AE404E" w:rsidRPr="00DF14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[Fac 3 (description)</w:t>
      </w:r>
    </w:p>
    <w:p w14:paraId="5464D345" w14:textId="77777777" w:rsidR="00DA2677" w:rsidRPr="00DF14E3" w:rsidRDefault="00BF317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…Décrire et énumérer toutes les instructions ou formations nécessaires pour le personnel propre ou pour le personnel externe, ou encore pour les autres utilisateurs concernés par les prestations contractuelles.</w:t>
      </w:r>
      <w:r>
        <w:rPr>
          <w:rFonts w:asciiTheme="minorHAnsi" w:hAnsiTheme="minorHAnsi"/>
          <w:highlight w:val="yellow"/>
        </w:rPr>
        <w:t xml:space="preserve"> </w:t>
      </w:r>
      <w:r>
        <w:rPr>
          <w:rFonts w:asciiTheme="minorHAnsi" w:hAnsiTheme="minorHAnsi"/>
          <w:i/>
          <w:highlight w:val="yellow"/>
        </w:rPr>
        <w:t>Indiquer si le prestataire doit mettre à disposition des documents de formation et, le cas échéant, dans quelles langues ceux-ci doivent être établis.</w:t>
      </w:r>
      <w:r>
        <w:rPr>
          <w:rFonts w:asciiTheme="minorHAnsi" w:hAnsiTheme="minorHAnsi"/>
          <w:highlight w:val="yellow"/>
        </w:rPr>
        <w:t xml:space="preserve"> </w:t>
      </w:r>
    </w:p>
    <w:p w14:paraId="329F8CAA" w14:textId="77777777" w:rsidR="00CD6A3B" w:rsidRDefault="00CD6A3B">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4" w:name="_Toc197703046"/>
      <w:r>
        <w:br w:type="page"/>
      </w:r>
    </w:p>
    <w:p w14:paraId="3B09CFF7" w14:textId="65C78754" w:rsidR="00B05F95" w:rsidRPr="00DF14E3" w:rsidRDefault="005F0A2C" w:rsidP="000B0977">
      <w:pPr>
        <w:pStyle w:val="SIK-berschrift1"/>
      </w:pPr>
      <w:r>
        <w:lastRenderedPageBreak/>
        <w:t>5.</w:t>
      </w:r>
      <w:r>
        <w:tab/>
        <w:t>Collaboration du bénéficiaire de prestations</w:t>
      </w:r>
      <w:bookmarkEnd w:id="4"/>
    </w:p>
    <w:p w14:paraId="027BFEAA" w14:textId="77777777" w:rsidR="00B05F95" w:rsidRPr="00DF14E3"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Outre l’obligation de collaborer visée au ch. 12.3 des CG 2025 de l’ANS, le bénéficiaire de prestations s’engage à remplir les obligations suivantes :</w:t>
      </w:r>
    </w:p>
    <w:p w14:paraId="24AA7DA4" w14:textId="77777777" w:rsidR="006544C8"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3BA2D4FE" w14:textId="77777777" w:rsidR="006544C8"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 xml:space="preserve">Aucune autre obligation de collaborer ne doit être remplie. </w:t>
      </w:r>
    </w:p>
    <w:p w14:paraId="70D1FAFF" w14:textId="77777777" w:rsidR="006544C8"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(description) </w:t>
      </w:r>
    </w:p>
    <w:p w14:paraId="429709F7" w14:textId="77777777" w:rsidR="00E33B34"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…mentionner l’ensemble des obligations de collaborer nécessaires, celles-ci devant en principe être déterminées par le prestataire et contrôlées par le bénéficiaire de prestations…</w:t>
      </w:r>
      <w:r>
        <w:rPr>
          <w:rFonts w:asciiTheme="minorHAnsi" w:hAnsiTheme="minorHAnsi"/>
          <w:highlight w:val="yellow"/>
        </w:rPr>
        <w:t>]</w:t>
      </w:r>
    </w:p>
    <w:p w14:paraId="37660FFD" w14:textId="77777777" w:rsidR="008C7ECE" w:rsidRPr="00DF14E3" w:rsidRDefault="00817099" w:rsidP="000B0977">
      <w:pPr>
        <w:pStyle w:val="SIK-berschrift1"/>
      </w:pPr>
      <w:bookmarkStart w:id="5" w:name="_Toc197703047"/>
      <w:r>
        <w:t xml:space="preserve">6. </w:t>
      </w:r>
      <w:r>
        <w:tab/>
        <w:t>Rémunération</w:t>
      </w:r>
      <w:bookmarkEnd w:id="5"/>
    </w:p>
    <w:p w14:paraId="61802CC8" w14:textId="77777777" w:rsidR="00583F4A" w:rsidRPr="00DF14E3"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Conformément au ch. 13.1 des CG 2025 de l’ANS, les parties contractantes conviennent de rémunérer comme suit les prestations fournies par le prestataire dans le cadre du présent contrat : </w:t>
      </w:r>
    </w:p>
    <w:p w14:paraId="0D42E6A0" w14:textId="77777777" w:rsidR="00583F4A" w:rsidRPr="00DF14E3"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 xml:space="preserve">[Fac 1 (prix fixe total ou récurrent) </w:t>
      </w:r>
    </w:p>
    <w:p w14:paraId="5A96462A" w14:textId="77777777" w:rsidR="00583F4A" w:rsidRPr="00DF14E3" w:rsidRDefault="000B4AB4" w:rsidP="000B0977">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au </w:t>
      </w:r>
      <w:r>
        <w:rPr>
          <w:rFonts w:asciiTheme="minorHAnsi" w:hAnsiTheme="minorHAnsi"/>
          <w:b/>
          <w:highlight w:val="yellow"/>
        </w:rPr>
        <w:t xml:space="preserve">prix fixe de ... francs </w:t>
      </w:r>
      <w:r>
        <w:rPr>
          <w:rFonts w:asciiTheme="minorHAnsi" w:hAnsiTheme="minorHAnsi"/>
          <w:highlight w:val="yellow"/>
        </w:rPr>
        <w:t xml:space="preserve">[pour la durée convenue du contrat / par an / par mois]. </w:t>
      </w:r>
    </w:p>
    <w:p w14:paraId="520EA262" w14:textId="77777777" w:rsidR="00583F4A" w:rsidRPr="00DF14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2 (en régie, avec plafond des coûts)</w:t>
      </w:r>
    </w:p>
    <w:p w14:paraId="16785D60" w14:textId="77777777" w:rsidR="00583F4A" w:rsidRPr="00DF14E3" w:rsidRDefault="00EC3266" w:rsidP="000B0977">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en régie, au </w:t>
      </w:r>
      <w:r>
        <w:rPr>
          <w:rFonts w:asciiTheme="minorHAnsi" w:hAnsiTheme="minorHAnsi"/>
          <w:b/>
          <w:highlight w:val="yellow"/>
        </w:rPr>
        <w:t>tarif horaire de … francs</w:t>
      </w:r>
      <w:r>
        <w:rPr>
          <w:rFonts w:asciiTheme="minorHAnsi" w:hAnsiTheme="minorHAnsi"/>
          <w:highlight w:val="yellow"/>
        </w:rPr>
        <w:t xml:space="preserve"> […</w:t>
      </w:r>
      <w:r>
        <w:rPr>
          <w:rFonts w:asciiTheme="minorHAnsi" w:hAnsiTheme="minorHAnsi"/>
          <w:i/>
          <w:highlight w:val="yellow"/>
        </w:rPr>
        <w:t>définir, le cas échéant, des tarifs différents pour chaque collaborateur ou tâche</w:t>
      </w:r>
      <w:r>
        <w:rPr>
          <w:rFonts w:asciiTheme="minorHAnsi" w:hAnsiTheme="minorHAnsi"/>
          <w:highlight w:val="yellow"/>
        </w:rPr>
        <w:t xml:space="preserve">…], mais dans les limites d’un </w:t>
      </w:r>
      <w:r>
        <w:rPr>
          <w:rFonts w:asciiTheme="minorHAnsi" w:hAnsiTheme="minorHAnsi"/>
          <w:b/>
          <w:highlight w:val="yellow"/>
        </w:rPr>
        <w:t xml:space="preserve">plafond des coûts </w:t>
      </w:r>
      <w:r>
        <w:rPr>
          <w:rFonts w:asciiTheme="minorHAnsi" w:hAnsiTheme="minorHAnsi"/>
          <w:highlight w:val="yellow"/>
        </w:rPr>
        <w:t xml:space="preserve">de </w:t>
      </w:r>
      <w:r>
        <w:rPr>
          <w:rFonts w:asciiTheme="minorHAnsi" w:hAnsiTheme="minorHAnsi"/>
          <w:b/>
          <w:highlight w:val="yellow"/>
        </w:rPr>
        <w:t xml:space="preserve">... francs </w:t>
      </w:r>
      <w:r>
        <w:rPr>
          <w:rFonts w:asciiTheme="minorHAnsi" w:hAnsiTheme="minorHAnsi"/>
          <w:highlight w:val="yellow"/>
        </w:rPr>
        <w:t xml:space="preserve">[pour toute la durée du contrat / par an]. </w:t>
      </w:r>
    </w:p>
    <w:p w14:paraId="22A2E233" w14:textId="77777777" w:rsidR="00583F4A" w:rsidRPr="00DF14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3 (rémunération comprise dans la redevance de licence)</w:t>
      </w:r>
    </w:p>
    <w:p w14:paraId="5DCC8C74" w14:textId="77777777" w:rsidR="00986F69" w:rsidRPr="00DF14E3" w:rsidRDefault="00583F4A" w:rsidP="000B0977">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la rémunération est comprise dans la redevance de licence prévue dans le contrat du .... relatif à la fourniture de licences logicielles.</w:t>
      </w:r>
    </w:p>
    <w:p w14:paraId="0B351463" w14:textId="77777777" w:rsidR="008C7ECE" w:rsidRPr="00DF14E3"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4 (réglementation en annexe)</w:t>
      </w:r>
    </w:p>
    <w:p w14:paraId="0E5BD011" w14:textId="77777777" w:rsidR="00986F69" w:rsidRPr="00DF14E3" w:rsidRDefault="00986F69" w:rsidP="000B0977">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selon la réglementation figurant dans l’annexe ... « Rémunération ».</w:t>
      </w:r>
    </w:p>
    <w:p w14:paraId="7349D532" w14:textId="77777777" w:rsidR="00335D8E" w:rsidRPr="00DF14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complétant les fac 1 et 2 (description détaillée de chaque position)</w:t>
      </w:r>
    </w:p>
    <w:p w14:paraId="7284C1C4" w14:textId="77777777" w:rsidR="0065399D" w:rsidRPr="00DF14E3"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Ce montant se compose comme suit :</w:t>
      </w:r>
    </w:p>
    <w:p w14:paraId="6A0A7DE7" w14:textId="77777777" w:rsidR="0065399D" w:rsidRPr="00DF14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 …</w:t>
      </w:r>
      <w:r>
        <w:rPr>
          <w:rFonts w:asciiTheme="minorHAnsi" w:hAnsiTheme="minorHAnsi"/>
          <w:i/>
          <w:highlight w:val="yellow"/>
        </w:rPr>
        <w:t>description pos. 1</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2F8CF0F1" w14:textId="77777777" w:rsidR="0065399D" w:rsidRPr="00DF14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b) …</w:t>
      </w:r>
      <w:r>
        <w:rPr>
          <w:rFonts w:asciiTheme="minorHAnsi" w:hAnsiTheme="minorHAnsi"/>
          <w:i/>
          <w:highlight w:val="yellow"/>
        </w:rPr>
        <w:t>description pos. 2</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4D042837" w14:textId="77777777" w:rsidR="0065399D" w:rsidRPr="00DF14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 …</w:t>
      </w:r>
      <w:r>
        <w:rPr>
          <w:rFonts w:asciiTheme="minorHAnsi" w:hAnsiTheme="minorHAnsi"/>
          <w:i/>
          <w:highlight w:val="yellow"/>
        </w:rPr>
        <w:t>description pos. 3</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33879794" w14:textId="77777777" w:rsidR="0065399D" w:rsidRPr="00DF14E3"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x) …</w:t>
      </w:r>
      <w:r>
        <w:rPr>
          <w:rFonts w:asciiTheme="minorHAnsi" w:hAnsiTheme="minorHAnsi"/>
          <w:i/>
          <w:highlight w:val="yellow"/>
        </w:rPr>
        <w:t>description pos. X</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73CEDB2F" w14:textId="4EFA5311" w:rsidR="00BD28F1" w:rsidRPr="00DF14E3"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Pr>
          <w:rFonts w:asciiTheme="minorHAnsi" w:hAnsiTheme="minorHAnsi"/>
          <w:b/>
          <w:highlight w:val="yellow"/>
        </w:rPr>
        <w:t>Prix fixe / plafond des coûts (prix maximal)</w:t>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sidR="003C04E5">
        <w:rPr>
          <w:rFonts w:asciiTheme="minorHAnsi" w:hAnsiTheme="minorHAnsi"/>
          <w:b/>
          <w:highlight w:val="yellow"/>
        </w:rPr>
        <w:t>…</w:t>
      </w:r>
      <w:r>
        <w:rPr>
          <w:rFonts w:asciiTheme="minorHAnsi" w:hAnsiTheme="minorHAnsi"/>
          <w:b/>
          <w:highlight w:val="yellow"/>
        </w:rPr>
        <w:tab/>
      </w:r>
      <w:proofErr w:type="gramStart"/>
      <w:r>
        <w:rPr>
          <w:rFonts w:asciiTheme="minorHAnsi" w:hAnsiTheme="minorHAnsi"/>
          <w:b/>
          <w:highlight w:val="yellow"/>
        </w:rPr>
        <w:t>francs</w:t>
      </w:r>
      <w:proofErr w:type="gramEnd"/>
      <w:r>
        <w:rPr>
          <w:rFonts w:asciiTheme="minorHAnsi" w:hAnsiTheme="minorHAnsi"/>
          <w:b/>
          <w:highlight w:val="yellow"/>
        </w:rPr>
        <w:t>]</w:t>
      </w:r>
    </w:p>
    <w:p w14:paraId="61BB92C8" w14:textId="77777777"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L’ensemble des frais et redevances (y c. TVA et contribution de recyclage anticipée) visés au ch. 13.3 des CG 2025 de l’ANS sont inclus dans la rémunération convenue.</w:t>
      </w:r>
    </w:p>
    <w:p w14:paraId="73FAF478" w14:textId="77777777" w:rsidR="00CE0E4A" w:rsidRPr="00DF14E3" w:rsidRDefault="0078012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(facturation continue)</w:t>
      </w:r>
    </w:p>
    <w:p w14:paraId="7D819C6C" w14:textId="77777777" w:rsidR="00EC3266" w:rsidRPr="00DF14E3" w:rsidRDefault="00CE0E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La facturation est effectuée non seulement conformément au ch. 13.4 des CG 2025 de l’ANS, mais également [une fois par mois / une fois par trimestre], sur la base des travaux exécutés en régie.]</w:t>
      </w:r>
    </w:p>
    <w:p w14:paraId="705ACCC0" w14:textId="77777777" w:rsidR="008C7ECE" w:rsidRPr="00DF14E3" w:rsidRDefault="000E59C2" w:rsidP="000B0977">
      <w:pPr>
        <w:pStyle w:val="SIK-berschrift1"/>
      </w:pPr>
      <w:bookmarkStart w:id="6" w:name="_Toc197703048"/>
      <w:r>
        <w:lastRenderedPageBreak/>
        <w:t xml:space="preserve">7. </w:t>
      </w:r>
      <w:r>
        <w:tab/>
        <w:t>Adresse de facturation</w:t>
      </w:r>
      <w:bookmarkEnd w:id="6"/>
    </w:p>
    <w:p w14:paraId="666DC2C8" w14:textId="77777777"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factures établies sur la base du présent contrat doivent être envoyées à l’adresse suivante :</w:t>
      </w:r>
    </w:p>
    <w:p w14:paraId="1BD65531" w14:textId="77777777" w:rsidR="007B104D" w:rsidRPr="00DF14E3"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l’adresse du bénéficiaire de prestations…</w:t>
      </w:r>
      <w:r>
        <w:rPr>
          <w:rFonts w:asciiTheme="minorHAnsi" w:hAnsiTheme="minorHAnsi"/>
          <w:highlight w:val="yellow"/>
        </w:rPr>
        <w:t>]</w:t>
      </w:r>
    </w:p>
    <w:p w14:paraId="088EE6CF" w14:textId="77777777" w:rsidR="008C7ECE" w:rsidRPr="00DF14E3" w:rsidRDefault="000E59C2" w:rsidP="000B0977">
      <w:pPr>
        <w:pStyle w:val="SIK-berschrift1"/>
      </w:pPr>
      <w:bookmarkStart w:id="7" w:name="_Toc197703049"/>
      <w:r>
        <w:t xml:space="preserve">8. </w:t>
      </w:r>
      <w:r>
        <w:tab/>
        <w:t>Interlocuteurs</w:t>
      </w:r>
      <w:bookmarkEnd w:id="7"/>
    </w:p>
    <w:p w14:paraId="6D395AE7" w14:textId="77777777" w:rsidR="008C7ECE" w:rsidRPr="00DF14E3"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Interlocuteur principal et représentant du prestataire :</w:t>
      </w:r>
    </w:p>
    <w:p w14:paraId="4C61499A" w14:textId="77777777" w:rsidR="00CB02EB" w:rsidRPr="00DF14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Mentionner le nom et les données de contact des personnes concernées. Au besoin, définir un interlocuteur par domaine d’exécution du contrat…]</w:t>
      </w:r>
    </w:p>
    <w:p w14:paraId="4B51722F" w14:textId="77777777" w:rsidR="008C7ECE" w:rsidRPr="00DF14E3"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Interlocuteur principal et représentant du bénéficiaire de prestations :</w:t>
      </w:r>
    </w:p>
    <w:p w14:paraId="0E965BBB" w14:textId="77777777" w:rsidR="00CB02EB" w:rsidRPr="00DF14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le nom et les données de contact des personnes concernées. Au besoin, définir un interlocuteur par domaine d’exécution du contrat…]</w:t>
      </w:r>
    </w:p>
    <w:p w14:paraId="3949C291" w14:textId="77777777" w:rsidR="00DA3C03" w:rsidRPr="00DF14E3" w:rsidRDefault="000E59C2" w:rsidP="000B0977">
      <w:pPr>
        <w:pStyle w:val="SIK-berschrift1"/>
      </w:pPr>
      <w:bookmarkStart w:id="8" w:name="_Toc197703050"/>
      <w:r>
        <w:t>9.</w:t>
      </w:r>
      <w:r>
        <w:tab/>
        <w:t>Lieu d’exécution</w:t>
      </w:r>
      <w:bookmarkEnd w:id="8"/>
    </w:p>
    <w:p w14:paraId="5DB9FFE7" w14:textId="77777777" w:rsidR="00DA3C03" w:rsidRPr="00DF14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6.1 des CG 2025 de l’ANS, les parties contractantes conviennent que l’installation ou, si aucune prestation d’installation n’est explicitement requise, la fourniture des prestations contractuelles est exécutée par le prestataire au lieu suivant : </w:t>
      </w:r>
    </w:p>
    <w:p w14:paraId="439B28D8" w14:textId="77777777" w:rsidR="00DA3C03" w:rsidRPr="00DF14E3" w:rsidRDefault="00780125"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[Siège du bénéficiaire de prestations …</w:t>
      </w:r>
      <w:r>
        <w:rPr>
          <w:rFonts w:asciiTheme="minorHAnsi" w:hAnsiTheme="minorHAnsi"/>
          <w:i/>
          <w:highlight w:val="yellow"/>
        </w:rPr>
        <w:t>mentionner l’adresse…</w:t>
      </w:r>
      <w:r>
        <w:rPr>
          <w:rFonts w:asciiTheme="minorHAnsi" w:hAnsiTheme="minorHAnsi"/>
          <w:highlight w:val="yellow"/>
        </w:rPr>
        <w:t>]</w:t>
      </w:r>
    </w:p>
    <w:p w14:paraId="327ABDD6" w14:textId="77777777" w:rsidR="00DA3C03" w:rsidRPr="00DF14E3"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(autres lieux d’exécution)</w:t>
      </w:r>
    </w:p>
    <w:p w14:paraId="29D18CA4" w14:textId="77777777" w:rsidR="00DA3C03" w:rsidRPr="00DF14E3" w:rsidRDefault="00DA3C03"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Elles conviennent d’un lieu d’exécution particulier pour les prestations suivantes : </w:t>
      </w:r>
      <w:r>
        <w:rPr>
          <w:rFonts w:asciiTheme="minorHAnsi" w:hAnsiTheme="minorHAnsi"/>
          <w:i/>
          <w:highlight w:val="yellow"/>
        </w:rPr>
        <w:t>…au besoin, définir un lieu d’exécution différent en fonction de l’objet de livraison / de la prestation contractuelle, par exemple en fonction du lieu prévu pour l’installation, les réunions communes, l’instruction, la formation ou de l’emplacement des locaux commerciaux.]</w:t>
      </w:r>
    </w:p>
    <w:p w14:paraId="01175E75" w14:textId="77777777" w:rsidR="008C7ECE" w:rsidRPr="00DF14E3" w:rsidRDefault="00231170" w:rsidP="000B0977">
      <w:pPr>
        <w:pStyle w:val="SIK-berschrift1"/>
      </w:pPr>
      <w:bookmarkStart w:id="9" w:name="_Toc197703051"/>
      <w:r>
        <w:t>10.</w:t>
      </w:r>
      <w:r>
        <w:tab/>
        <w:t>Modalités de réception</w:t>
      </w:r>
      <w:bookmarkEnd w:id="9"/>
    </w:p>
    <w:p w14:paraId="788F5504" w14:textId="431B0337" w:rsidR="008C7ECE" w:rsidRPr="00DF14E3"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En application du ch. 28.2 des CG 2025 de l’ANS, les parties cont</w:t>
      </w:r>
      <w:r w:rsidR="003C04E5">
        <w:rPr>
          <w:rFonts w:asciiTheme="minorHAnsi" w:hAnsiTheme="minorHAnsi"/>
        </w:rPr>
        <w:t>r</w:t>
      </w:r>
      <w:r>
        <w:rPr>
          <w:rFonts w:asciiTheme="minorHAnsi" w:hAnsiTheme="minorHAnsi"/>
        </w:rPr>
        <w:t>actantes conviennent des modalités de réception suivantes :</w:t>
      </w:r>
    </w:p>
    <w:p w14:paraId="2DBD623B" w14:textId="77777777" w:rsidR="002457C3" w:rsidRPr="00DF14E3" w:rsidRDefault="0019259C"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556E467A" w14:textId="77777777" w:rsidR="002457C3" w:rsidRPr="00DF14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Aucune modalité de réception spéciale n’est prévue pour les prestations de maintenance et d’entretien. </w:t>
      </w:r>
    </w:p>
    <w:p w14:paraId="02929662" w14:textId="77777777" w:rsidR="002457C3" w:rsidRPr="00DF14E3" w:rsidRDefault="002457C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(description)</w:t>
      </w:r>
    </w:p>
    <w:p w14:paraId="4C9FDBD5" w14:textId="77777777" w:rsidR="00231170" w:rsidRPr="00DF14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en fonction du matériel informatique et des logiciels concernés, mais surtout en présence d’applications ou d’appareils essentiels pour la marche des affaires, il peut être nécessaire de prévoir une procédure de réception spéciale (par ex. environnement de test pour les nouvelles versions, mises à jour, mises à niveau ou remplacement de matériel informatique essentiel pour la marche des affaires), afin d’éviter toute défaillance, perte de données ou incident similaire. Dans ce cas, il faut au moins déterminer les éléments suivants :</w:t>
      </w:r>
    </w:p>
    <w:p w14:paraId="2BC156FF" w14:textId="77777777" w:rsidR="004125B0" w:rsidRPr="00DF14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date de la réception, calendrier du contrôle commun, procédure de réception, critères de réception (par ex. fonctions, disponibilité, caractéristiques des prestations), qualification des défauts et devoirs de collaboration du bénéficiaire de prestations...</w:t>
      </w:r>
    </w:p>
    <w:p w14:paraId="33332C3C" w14:textId="77777777" w:rsidR="004125B0" w:rsidRPr="00DF14E3" w:rsidRDefault="002457C3"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Pr>
          <w:rFonts w:asciiTheme="minorHAnsi" w:hAnsiTheme="minorHAnsi"/>
          <w:i/>
          <w:highlight w:val="yellow"/>
        </w:rPr>
        <w:lastRenderedPageBreak/>
        <w:t>[Fac 3 (annexe)</w:t>
      </w:r>
    </w:p>
    <w:p w14:paraId="4D34CB18" w14:textId="77777777" w:rsidR="004125B0" w:rsidRPr="00DF14E3" w:rsidRDefault="00BC42AD"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Pr>
          <w:rFonts w:asciiTheme="minorHAnsi" w:hAnsiTheme="minorHAnsi"/>
          <w:highlight w:val="yellow"/>
        </w:rPr>
        <w:t>Les modalités de réception sont définies dans l’annexe ... « Modalités de réception ».]</w:t>
      </w:r>
    </w:p>
    <w:p w14:paraId="7D6034A0" w14:textId="77777777" w:rsidR="006F3A3C" w:rsidRPr="00DF14E3" w:rsidRDefault="006F3A3C" w:rsidP="000B0977">
      <w:pPr>
        <w:pStyle w:val="SIK-berschrift1"/>
      </w:pPr>
      <w:bookmarkStart w:id="10" w:name="_Toc197703052"/>
      <w:r>
        <w:t>11.</w:t>
      </w:r>
      <w:r>
        <w:tab/>
        <w:t>Durée du contrat</w:t>
      </w:r>
      <w:bookmarkEnd w:id="10"/>
    </w:p>
    <w:p w14:paraId="6ECFE751" w14:textId="77777777" w:rsidR="006F3A3C" w:rsidRPr="00DF14E3" w:rsidRDefault="006F3A3C" w:rsidP="000B0977">
      <w:pPr>
        <w:spacing w:before="120" w:after="120" w:line="320" w:lineRule="exact"/>
        <w:ind w:left="425"/>
        <w:jc w:val="both"/>
        <w:rPr>
          <w:rFonts w:asciiTheme="minorHAnsi" w:hAnsiTheme="minorHAnsi"/>
        </w:rPr>
      </w:pPr>
      <w:r>
        <w:rPr>
          <w:rFonts w:asciiTheme="minorHAnsi" w:hAnsiTheme="minorHAnsi"/>
        </w:rPr>
        <w:t xml:space="preserve">La relation contractuelle débute </w:t>
      </w:r>
      <w:r>
        <w:rPr>
          <w:rFonts w:asciiTheme="minorHAnsi" w:hAnsiTheme="minorHAnsi"/>
          <w:highlight w:val="yellow"/>
        </w:rPr>
        <w:t>[à la signature du contrat / le …]</w:t>
      </w:r>
      <w:r>
        <w:rPr>
          <w:rFonts w:asciiTheme="minorHAnsi" w:hAnsiTheme="minorHAnsi"/>
        </w:rPr>
        <w:t xml:space="preserve">. </w:t>
      </w:r>
    </w:p>
    <w:p w14:paraId="38E9FEBE" w14:textId="77777777" w:rsidR="006F3A3C" w:rsidRPr="00DF14E3" w:rsidRDefault="006F3A3C" w:rsidP="000B0977">
      <w:pPr>
        <w:spacing w:before="120" w:after="120" w:line="320" w:lineRule="exact"/>
        <w:ind w:left="425"/>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(pour les contrats de durée déterminée)</w:t>
      </w:r>
    </w:p>
    <w:p w14:paraId="03DEA3A8" w14:textId="77777777" w:rsidR="006F3A3C" w:rsidRPr="00DF14E3" w:rsidRDefault="00FB52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Le contrat est conclu pour une durée de ... mois / ans et devient automatiquement caduc à son échéance.</w:t>
      </w:r>
    </w:p>
    <w:p w14:paraId="0F391556" w14:textId="77777777" w:rsidR="006F3A3C" w:rsidRPr="00DF14E3" w:rsidRDefault="006F3A3C"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2 (pour les contrats de durée indéterminée pouvant être résiliés en tout temps)</w:t>
      </w:r>
    </w:p>
    <w:p w14:paraId="1BF44BA7" w14:textId="77777777" w:rsidR="006F3A3C" w:rsidRPr="00DF14E3" w:rsidRDefault="00372900" w:rsidP="00FB5236">
      <w:pPr>
        <w:spacing w:before="120" w:after="120" w:line="320" w:lineRule="exact"/>
        <w:ind w:left="425"/>
        <w:jc w:val="both"/>
        <w:rPr>
          <w:rFonts w:asciiTheme="minorHAnsi" w:hAnsiTheme="minorHAnsi"/>
          <w:highlight w:val="yellow"/>
        </w:rPr>
      </w:pPr>
      <w:r>
        <w:rPr>
          <w:rFonts w:asciiTheme="minorHAnsi" w:hAnsiTheme="minorHAnsi"/>
          <w:highlight w:val="yellow"/>
        </w:rPr>
        <w:t xml:space="preserve">Le contrat est conclu pour une durée indéterminée. Sa résiliation est régie par le ch. 34 des CG 2025 de l’ANS. / Sa résiliation est régie par le ch. 34 des CG 2025 de l’ANS. Par dérogation au ch. 34.1 des CG 2025 de l’ANS, les délais de résiliation suivants doivent toutefois être respectés : </w:t>
      </w:r>
    </w:p>
    <w:p w14:paraId="0606FD1E" w14:textId="77777777" w:rsidR="006F3A3C" w:rsidRPr="00DF14E3" w:rsidRDefault="00855B32"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3 (pour les contrats de durée indéterminée pouvant être résiliés au terme d’une durée minimale)</w:t>
      </w:r>
    </w:p>
    <w:p w14:paraId="55292B42" w14:textId="77777777" w:rsidR="006F3A3C" w:rsidRPr="00DF14E3" w:rsidRDefault="006F3A3C"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Le contrat est conclu pour une durée minimale de [2] ans. S’il n’est pas résilié à l’expiration de cette durée minimale, il est maintenu pour une durée indéterminée. Les dispositions du ch. 34 des CG 2025 de l’ANS s’appliquent au surplus / Les dispositions du ch. 34 des CG 2025 de l’ANS s’appliquent au surplus. Par dérogation au ch. 34.1 des CG 2025 de l’ANS, les délais de résiliation suivants doivent toutefois être respectés :</w:t>
      </w:r>
    </w:p>
    <w:p w14:paraId="276D6822" w14:textId="77777777" w:rsidR="00B30866" w:rsidRPr="00DF14E3"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complétant les fac 1, 2 et 3 (autres modalités de résiliation du contrat)</w:t>
      </w:r>
    </w:p>
    <w:p w14:paraId="2B409C12" w14:textId="77777777" w:rsidR="00B30866" w:rsidRPr="00DF14E3" w:rsidRDefault="00B3086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En application des ch. 24 et 34.4 des CG 2025 de l’ANS, les parties contractantes conviennent des autres modalités et prestations d’assistance suivantes en vue de la résiliation du contrat :</w:t>
      </w:r>
    </w:p>
    <w:p w14:paraId="68B02F76" w14:textId="77777777" w:rsidR="00EF0B6E" w:rsidRPr="00DF14E3" w:rsidRDefault="00EF0B6E"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 xml:space="preserve">mentionner toutes les modalités et prestations supplémentaires ; voir à ce sujet le commentaire du ch. 34.4 des CG 2025 de l’ANS figurant dans la liste de contrôle II </w:t>
      </w:r>
      <w:r>
        <w:rPr>
          <w:rFonts w:asciiTheme="minorHAnsi" w:hAnsiTheme="minorHAnsi"/>
          <w:highlight w:val="yellow"/>
        </w:rPr>
        <w:t>…]]</w:t>
      </w:r>
    </w:p>
    <w:p w14:paraId="4A19A24D" w14:textId="77777777" w:rsidR="00855B32" w:rsidRPr="00DF14E3" w:rsidRDefault="006F3A3C" w:rsidP="000B0977">
      <w:pPr>
        <w:pStyle w:val="SIK-berschrift1"/>
      </w:pPr>
      <w:bookmarkStart w:id="11" w:name="_Toc197703053"/>
      <w:r>
        <w:t>12.</w:t>
      </w:r>
      <w:r>
        <w:tab/>
        <w:t>Heures d’exploitation, temps de réaction et temps de réparation des dysfonctionnements, disponibilité</w:t>
      </w:r>
      <w:bookmarkEnd w:id="11"/>
      <w:r>
        <w:t xml:space="preserve"> </w:t>
      </w:r>
    </w:p>
    <w:p w14:paraId="5474350B" w14:textId="77777777" w:rsidR="00026BE3" w:rsidRPr="00DF14E3" w:rsidRDefault="00026BE3" w:rsidP="000B0977">
      <w:pPr>
        <w:spacing w:before="120" w:after="120" w:line="320" w:lineRule="exact"/>
        <w:ind w:left="425"/>
        <w:jc w:val="both"/>
        <w:rPr>
          <w:rFonts w:asciiTheme="minorHAnsi" w:hAnsiTheme="minorHAnsi"/>
        </w:rPr>
      </w:pPr>
      <w:r>
        <w:rPr>
          <w:rFonts w:asciiTheme="minorHAnsi" w:hAnsiTheme="minorHAnsi"/>
        </w:rPr>
        <w:t xml:space="preserve">Le ch. 33 des CG 2025 de l’ANS s’applique. </w:t>
      </w:r>
    </w:p>
    <w:p w14:paraId="0923D55E" w14:textId="77777777" w:rsidR="00855B32" w:rsidRPr="00DF14E3"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1 (temps de réparation des dysfonctionnements, cas de figure simple)</w:t>
      </w:r>
    </w:p>
    <w:p w14:paraId="3EBD3FFB" w14:textId="77777777" w:rsidR="00026BE3" w:rsidRPr="00DF14E3" w:rsidRDefault="00026BE3" w:rsidP="000B0977">
      <w:pPr>
        <w:spacing w:before="120" w:after="120" w:line="320" w:lineRule="exact"/>
        <w:ind w:left="426"/>
        <w:jc w:val="both"/>
        <w:rPr>
          <w:rFonts w:asciiTheme="minorHAnsi" w:hAnsiTheme="minorHAnsi"/>
          <w:highlight w:val="yellow"/>
        </w:rPr>
      </w:pPr>
      <w:r>
        <w:rPr>
          <w:rFonts w:asciiTheme="minorHAnsi" w:hAnsiTheme="minorHAnsi"/>
          <w:highlight w:val="yellow"/>
        </w:rPr>
        <w:t>En complément du ch. 33.3 des CG 2025 de l’ANS, les parties contractantes conviennent que les dysfonctionnements importants sont réparés dans les [... heures / jours] qui suivent leur survenance. Les autres dysfonctionnements le sont dès que possible (</w:t>
      </w:r>
      <w:r>
        <w:rPr>
          <w:rFonts w:asciiTheme="minorHAnsi" w:hAnsiTheme="minorHAnsi"/>
          <w:i/>
          <w:highlight w:val="yellow"/>
        </w:rPr>
        <w:t>best effort</w:t>
      </w:r>
      <w:r>
        <w:rPr>
          <w:rFonts w:asciiTheme="minorHAnsi" w:hAnsiTheme="minorHAnsi"/>
          <w:highlight w:val="yellow"/>
        </w:rPr>
        <w:t>).</w:t>
      </w:r>
    </w:p>
    <w:p w14:paraId="7D4C48F0" w14:textId="77777777" w:rsidR="00026BE3" w:rsidRPr="00DF14E3"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2 (temps de réparation des dysfonctionnements et classification)</w:t>
      </w:r>
    </w:p>
    <w:p w14:paraId="72970756" w14:textId="77777777" w:rsidR="00026BE3" w:rsidRPr="00DF14E3" w:rsidRDefault="00026BE3"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En complément du ch. 33.3 des CG 2025 de l’ANS, les dysfonctionnements sont réparés sur la base de la classification suivante :</w:t>
      </w:r>
    </w:p>
    <w:p w14:paraId="27015AAA" w14:textId="77777777" w:rsidR="001C6A5C" w:rsidRPr="00DF14E3" w:rsidRDefault="001C6A5C" w:rsidP="000B0977">
      <w:pPr>
        <w:spacing w:before="120" w:after="120" w:line="320" w:lineRule="exact"/>
        <w:ind w:left="708"/>
        <w:jc w:val="both"/>
        <w:rPr>
          <w:rFonts w:asciiTheme="minorHAnsi" w:hAnsiTheme="minorHAnsi" w:cs="Arial"/>
          <w:szCs w:val="22"/>
          <w:highlight w:val="yellow"/>
          <w:u w:val="single"/>
        </w:rPr>
      </w:pPr>
      <w:r>
        <w:rPr>
          <w:rFonts w:asciiTheme="minorHAnsi" w:hAnsiTheme="minorHAnsi" w:cs="Arial"/>
          <w:highlight w:val="yellow"/>
          <w:u w:val="single"/>
        </w:rPr>
        <w:t>classe A</w:t>
      </w:r>
      <w:r>
        <w:rPr>
          <w:rFonts w:asciiTheme="minorHAnsi" w:hAnsiTheme="minorHAnsi" w:cs="Arial"/>
          <w:highlight w:val="yellow"/>
        </w:rPr>
        <w:t xml:space="preserve"> : dysfonctionnements graves qui restreignent ou empêchent l’utilisation [du système global / du logiciel / du matériel informatique / du résultat du service] ou de parties de celui-ci (dysfonctionnements importants incapacitants) ; </w:t>
      </w:r>
    </w:p>
    <w:p w14:paraId="79FFFF4D" w14:textId="77777777" w:rsidR="001C6A5C" w:rsidRPr="00DF14E3" w:rsidRDefault="001C6A5C" w:rsidP="000B0977">
      <w:pPr>
        <w:spacing w:before="120" w:after="120" w:line="320" w:lineRule="exact"/>
        <w:ind w:left="708"/>
        <w:jc w:val="both"/>
        <w:rPr>
          <w:rFonts w:asciiTheme="minorHAnsi" w:hAnsiTheme="minorHAnsi" w:cs="Arial"/>
          <w:szCs w:val="22"/>
          <w:highlight w:val="yellow"/>
          <w:u w:val="single"/>
        </w:rPr>
      </w:pPr>
      <w:r>
        <w:rPr>
          <w:rFonts w:asciiTheme="minorHAnsi" w:hAnsiTheme="minorHAnsi" w:cs="Arial"/>
          <w:highlight w:val="yellow"/>
          <w:u w:val="single"/>
        </w:rPr>
        <w:lastRenderedPageBreak/>
        <w:t>classe B</w:t>
      </w:r>
      <w:r>
        <w:rPr>
          <w:rFonts w:asciiTheme="minorHAnsi" w:hAnsiTheme="minorHAnsi" w:cs="Arial"/>
          <w:highlight w:val="yellow"/>
        </w:rPr>
        <w:t xml:space="preserve"> : dysfonctionnements qui compliquent l’utilisation [du système global / du logiciel / du matériel informatique / du résultat du service] ou de parties de celui-ci et que l’utilisateur peut réparer seulement au prix d’efforts supplémentaires (dysfonctionnements importants gênants) ; </w:t>
      </w:r>
    </w:p>
    <w:p w14:paraId="6CF21B1D" w14:textId="77777777" w:rsidR="00026BE3" w:rsidRPr="00DF14E3" w:rsidRDefault="001C6A5C" w:rsidP="000B0977">
      <w:pPr>
        <w:spacing w:before="120" w:after="120" w:line="320" w:lineRule="exact"/>
        <w:ind w:left="708"/>
        <w:jc w:val="both"/>
        <w:rPr>
          <w:rFonts w:asciiTheme="minorHAnsi" w:hAnsiTheme="minorHAnsi"/>
          <w:szCs w:val="22"/>
          <w:highlight w:val="yellow"/>
        </w:rPr>
      </w:pPr>
      <w:r>
        <w:rPr>
          <w:rFonts w:asciiTheme="minorHAnsi" w:hAnsiTheme="minorHAnsi" w:cs="Arial"/>
          <w:highlight w:val="yellow"/>
          <w:u w:val="single"/>
        </w:rPr>
        <w:t>classe C</w:t>
      </w:r>
      <w:r>
        <w:rPr>
          <w:rFonts w:asciiTheme="minorHAnsi" w:hAnsiTheme="minorHAnsi" w:cs="Arial"/>
          <w:highlight w:val="yellow"/>
        </w:rPr>
        <w:t> : dysfonctionnements qui compliquent l’utilisation [du système global / du logiciel / du matériel informatique / du résultat du service] ou de parties de celui-ci, mais que l’utilisateur peut réparer sans trop d’efforts (dysfonctionnements mineurs).</w:t>
      </w:r>
    </w:p>
    <w:p w14:paraId="1F072857" w14:textId="77777777" w:rsidR="00452AD2" w:rsidRPr="00DF14E3" w:rsidRDefault="00452AD2"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Les dysfonctionnements sont réparés selon leur classe, dans les délais suivants ;</w:t>
      </w:r>
    </w:p>
    <w:p w14:paraId="70A34E5F" w14:textId="77777777" w:rsidR="00026BE3" w:rsidRPr="00DF14E3" w:rsidRDefault="001C6A5C"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A : [… heures / … jours] ;</w:t>
      </w:r>
    </w:p>
    <w:p w14:paraId="44027844" w14:textId="77777777" w:rsidR="00452AD2" w:rsidRPr="00DF14E3" w:rsidRDefault="001C6A5C"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B : [… heures / … jours] ;</w:t>
      </w:r>
    </w:p>
    <w:p w14:paraId="2DCC95F5" w14:textId="77777777" w:rsidR="00452AD2" w:rsidRPr="00DF14E3" w:rsidRDefault="001C6A5C"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C : [… heures / ... jours / dès que possible (</w:t>
      </w:r>
      <w:r>
        <w:rPr>
          <w:rFonts w:asciiTheme="minorHAnsi" w:hAnsiTheme="minorHAnsi"/>
          <w:i/>
          <w:highlight w:val="yellow"/>
        </w:rPr>
        <w:t>best effort</w:t>
      </w:r>
      <w:r>
        <w:rPr>
          <w:rFonts w:asciiTheme="minorHAnsi" w:hAnsiTheme="minorHAnsi"/>
          <w:highlight w:val="yellow"/>
        </w:rPr>
        <w:t>) / lors de la prochaine mise à jour du logiciel].</w:t>
      </w:r>
    </w:p>
    <w:p w14:paraId="1CA195E6" w14:textId="77777777" w:rsidR="00327436" w:rsidRPr="00DF14E3"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3 (disponibilité)</w:t>
      </w:r>
    </w:p>
    <w:p w14:paraId="7E004D60" w14:textId="77777777" w:rsidR="00327436" w:rsidRPr="00DF14E3"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 xml:space="preserve">...décrire la disponibilité en % des heures d’exploitation et déterminer en particulier les points suivants : première période durant laquelle la disponibilité doit être garantie, intervalles auxquels la disponibilité est mesurée (une fois par mois / trimestre / an), définition de l’indisponibilité (par ex. panne totale du système, panne majeure due à des dysfonctionnements de classe A), définition des événements assimilables à une indisponibilité (par ex. travaux de maintenance prévus, travaux de maintenance urgents nécessaires à l’installation de correctifs de sécurité, pannes causées par le bénéficiaire de prestations)... </w:t>
      </w:r>
    </w:p>
    <w:p w14:paraId="6CA55E3F" w14:textId="77777777" w:rsidR="00372900" w:rsidRPr="00DF14E3"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4 (renvoi à l’accord de niveau de service)</w:t>
      </w:r>
    </w:p>
    <w:p w14:paraId="1F1D9930" w14:textId="77777777" w:rsidR="00372900" w:rsidRPr="00DF14E3" w:rsidRDefault="003274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Les heures d’exploitation, les temps de réaction et de réparation des dysfonctionnements et la disponibilité sont régis dans l’annexe « Accord de niveau de service ».</w:t>
      </w:r>
    </w:p>
    <w:p w14:paraId="4D8A9B7B" w14:textId="77777777" w:rsidR="00452AD2" w:rsidRPr="00DF14E3"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complétant les fac 1 et 2 (service de permanence en dehors du temps de disponibilité)</w:t>
      </w:r>
    </w:p>
    <w:p w14:paraId="597B9DBE" w14:textId="77777777" w:rsidR="00452AD2" w:rsidRPr="00DF14E3"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Pr>
          <w:rFonts w:asciiTheme="minorHAnsi" w:hAnsiTheme="minorHAnsi"/>
          <w:highlight w:val="yellow"/>
        </w:rPr>
        <w:t>En application du ch. 33.4 des CG 2025 de l’ANS, le prestataire est tenu d’assurer un service de permanence [quotidien, hebdomadaire ou annuel / le samedi et le dimanche ainsi que les jours fériés prévus dans le droit fédéral et le droit local, de ... heures à ... heures, sur le lieu d’exécution]. La rémunération est réglementée [au ch. 6 du présent contrat / dans l’annexe « Rémunération »].</w:t>
      </w:r>
    </w:p>
    <w:p w14:paraId="765F569D" w14:textId="248D2311" w:rsidR="00EF0B6E" w:rsidRPr="00DF14E3" w:rsidRDefault="00855B32" w:rsidP="000B0977">
      <w:pPr>
        <w:pStyle w:val="SIK-berschrift1"/>
      </w:pPr>
      <w:bookmarkStart w:id="12" w:name="_Toc197703054"/>
      <w:r>
        <w:t>13.</w:t>
      </w:r>
      <w:r>
        <w:tab/>
        <w:t>Prestations d’assistance</w:t>
      </w:r>
      <w:bookmarkEnd w:id="12"/>
    </w:p>
    <w:p w14:paraId="428AC803" w14:textId="77777777" w:rsidR="00EF0B6E" w:rsidRPr="00DF14E3" w:rsidRDefault="00EF0B6E" w:rsidP="000B0977">
      <w:pPr>
        <w:spacing w:before="120" w:after="120" w:line="320" w:lineRule="exact"/>
        <w:ind w:left="426"/>
        <w:jc w:val="both"/>
        <w:rPr>
          <w:rFonts w:asciiTheme="minorHAnsi" w:hAnsiTheme="minorHAnsi"/>
        </w:rPr>
      </w:pPr>
      <w:r>
        <w:rPr>
          <w:rFonts w:asciiTheme="minorHAnsi" w:hAnsiTheme="minorHAnsi"/>
        </w:rPr>
        <w:t xml:space="preserve">En complément du ch. 33 des CG 2025 de l’ANS, le prestataire s’engage à fournir les prestations d’assistance suivantes : </w:t>
      </w:r>
    </w:p>
    <w:p w14:paraId="6127E20C" w14:textId="77777777" w:rsidR="00EF0B6E" w:rsidRPr="00DF14E3" w:rsidRDefault="008A7EC4" w:rsidP="000B0977">
      <w:pPr>
        <w:spacing w:before="120" w:after="120" w:line="320" w:lineRule="exact"/>
        <w:ind w:left="426"/>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(description des prestations d’assistance avec 3 niveaux au maximum)</w:t>
      </w:r>
    </w:p>
    <w:p w14:paraId="5217C0B9" w14:textId="77777777" w:rsidR="00EF0B6E" w:rsidRPr="00DF14E3" w:rsidRDefault="008A7EC4" w:rsidP="000B0977">
      <w:pPr>
        <w:pStyle w:val="Paragraphedeliste"/>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assistance de 1</w:t>
      </w:r>
      <w:r>
        <w:rPr>
          <w:rFonts w:asciiTheme="minorHAnsi" w:hAnsiTheme="minorHAnsi"/>
          <w:highlight w:val="yellow"/>
          <w:vertAlign w:val="superscript"/>
        </w:rPr>
        <w:t>er</w:t>
      </w:r>
      <w:r>
        <w:rPr>
          <w:rFonts w:asciiTheme="minorHAnsi" w:hAnsiTheme="minorHAnsi"/>
          <w:highlight w:val="yellow"/>
        </w:rPr>
        <w:t> niveau : ...description des prestations et des ayants droit... ;</w:t>
      </w:r>
    </w:p>
    <w:p w14:paraId="7449554B" w14:textId="77777777" w:rsidR="008A7EC4" w:rsidRPr="00DF14E3" w:rsidRDefault="008A7EC4" w:rsidP="000B0977">
      <w:pPr>
        <w:pStyle w:val="Paragraphedeliste"/>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assistance de 2</w:t>
      </w:r>
      <w:r>
        <w:rPr>
          <w:rFonts w:asciiTheme="minorHAnsi" w:hAnsiTheme="minorHAnsi"/>
          <w:highlight w:val="yellow"/>
          <w:vertAlign w:val="superscript"/>
        </w:rPr>
        <w:t>e</w:t>
      </w:r>
      <w:r>
        <w:rPr>
          <w:rFonts w:asciiTheme="minorHAnsi" w:hAnsiTheme="minorHAnsi"/>
          <w:highlight w:val="yellow"/>
        </w:rPr>
        <w:t> niveau : ...description des prestations et des ayants droit... ;</w:t>
      </w:r>
    </w:p>
    <w:p w14:paraId="3C5A0127" w14:textId="77777777" w:rsidR="008A7EC4" w:rsidRPr="00DF14E3" w:rsidRDefault="008A7EC4" w:rsidP="000B0977">
      <w:pPr>
        <w:pStyle w:val="Paragraphedeliste"/>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assistance de 3</w:t>
      </w:r>
      <w:r>
        <w:rPr>
          <w:rFonts w:asciiTheme="minorHAnsi" w:hAnsiTheme="minorHAnsi"/>
          <w:highlight w:val="yellow"/>
          <w:vertAlign w:val="superscript"/>
        </w:rPr>
        <w:t>e</w:t>
      </w:r>
      <w:r>
        <w:rPr>
          <w:rFonts w:asciiTheme="minorHAnsi" w:hAnsiTheme="minorHAnsi"/>
          <w:highlight w:val="yellow"/>
        </w:rPr>
        <w:t> niveau : ...description des prestations et des ayants droit....</w:t>
      </w:r>
    </w:p>
    <w:p w14:paraId="63EB0604" w14:textId="77777777" w:rsidR="00EF0B6E" w:rsidRPr="00DF14E3"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Fac 2 (renvoi)</w:t>
      </w:r>
    </w:p>
    <w:p w14:paraId="4A52A0EB" w14:textId="77777777" w:rsidR="00EF0B6E" w:rsidRPr="00DF14E3" w:rsidRDefault="008A7EC4" w:rsidP="000B0977">
      <w:pPr>
        <w:pStyle w:val="Paragraphedeliste"/>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Les prestations d’assistance sont décrites dans [l’annexe « Spécifications des prestations contractuelles » / dans l’offre du prestataire (p. …) / dans le cahier des charges du bénéficiaire de prestations (p. …).</w:t>
      </w:r>
    </w:p>
    <w:p w14:paraId="5EF42C90" w14:textId="77777777" w:rsidR="00EF0B6E" w:rsidRPr="00DF14E3"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lastRenderedPageBreak/>
        <w:t>Fac 3 (pas d’autres prestations d’assistance)</w:t>
      </w:r>
    </w:p>
    <w:p w14:paraId="585E7E4E" w14:textId="77777777" w:rsidR="00EF0B6E" w:rsidRPr="00DF14E3" w:rsidRDefault="00EF0B6E" w:rsidP="000B0977">
      <w:pPr>
        <w:pStyle w:val="Paragraphedeliste"/>
        <w:numPr>
          <w:ilvl w:val="0"/>
          <w:numId w:val="3"/>
        </w:numPr>
        <w:spacing w:before="120" w:after="120" w:line="320" w:lineRule="exact"/>
        <w:jc w:val="both"/>
        <w:rPr>
          <w:rFonts w:asciiTheme="minorHAnsi" w:hAnsiTheme="minorHAnsi"/>
        </w:rPr>
      </w:pPr>
      <w:r>
        <w:rPr>
          <w:rFonts w:asciiTheme="minorHAnsi" w:hAnsiTheme="minorHAnsi"/>
          <w:highlight w:val="yellow"/>
        </w:rPr>
        <w:t>Aucune autre prestation d’assistance n’est convenue.]</w:t>
      </w:r>
    </w:p>
    <w:p w14:paraId="3C20690D" w14:textId="77777777" w:rsidR="008C7ECE" w:rsidRPr="00DF14E3" w:rsidRDefault="00EF0B6E" w:rsidP="000B0977">
      <w:pPr>
        <w:pStyle w:val="SIK-berschrift1"/>
      </w:pPr>
      <w:bookmarkStart w:id="13" w:name="_Toc197703055"/>
      <w:r>
        <w:t>14.</w:t>
      </w:r>
      <w:r>
        <w:tab/>
        <w:t>Accords spéciaux</w:t>
      </w:r>
      <w:bookmarkEnd w:id="13"/>
    </w:p>
    <w:p w14:paraId="426AF515" w14:textId="77777777" w:rsidR="00DA3C03" w:rsidRPr="00DF14E3"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En complément des CG 2025 de l’ANS ou par dérogation à ces conditions, les règles suivantes s’appliquent :</w:t>
      </w:r>
    </w:p>
    <w:p w14:paraId="1C490CE9" w14:textId="77777777" w:rsidR="00F03651" w:rsidRPr="00DF14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3980F7CC" w14:textId="77777777" w:rsidR="00F03651" w:rsidRPr="00DF14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Aucune dérogation ni complément ne sont nécessaires. </w:t>
      </w:r>
    </w:p>
    <w:p w14:paraId="23AF2CF2" w14:textId="77777777" w:rsidR="00F03651" w:rsidRPr="00DF14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 xml:space="preserve">[Fac 2 (description) </w:t>
      </w:r>
    </w:p>
    <w:p w14:paraId="125BFF9B" w14:textId="77777777" w:rsidR="008A7EC4" w:rsidRPr="00DF14E3"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 xml:space="preserve"> …</w:t>
      </w:r>
      <w:r>
        <w:rPr>
          <w:rFonts w:asciiTheme="minorHAnsi" w:hAnsiTheme="minorHAnsi"/>
          <w:i/>
          <w:highlight w:val="yellow"/>
        </w:rPr>
        <w:t>Mentionner l’ensemble des dispositions complétant les CG 2025 de l’ANS ou y dérogeant. Ces clauses doivent faire l’objet d’un contrôle particulier visant à en garantir la conformité avec le reste des clauses contractuelles. Si elles sont pertinentes pour le cas d’espèce, les clauses énoncées dans la liste de contrôle II peuvent être reprises et modifiées selon les besoins...</w:t>
      </w:r>
      <w:r>
        <w:rPr>
          <w:rFonts w:asciiTheme="minorHAnsi" w:hAnsiTheme="minorHAnsi"/>
          <w:highlight w:val="yellow"/>
        </w:rPr>
        <w:t xml:space="preserve">] </w:t>
      </w:r>
    </w:p>
    <w:p w14:paraId="6E699FEB" w14:textId="77777777" w:rsidR="00D2423E" w:rsidRPr="00DF14E3"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À moins que les ch. 1 à 13 du présent modèle de contrat ne le précisent, les parties contractantes doivent, dès lors qu’elles entendent déroger à ces clauses, conclure une convention distincte pour chacune des clauses des CG_2025 de l’ANS applicables aux contrats relatifs à la maintenance de matériel informatique, à l’entretien de logiciels et à la fourniture de prestations d’assistance, à savoir les clauses suivantes </w:t>
      </w:r>
      <w:r>
        <w:rPr>
          <w:rFonts w:asciiTheme="minorHAnsi" w:hAnsiTheme="minorHAnsi"/>
          <w:highlight w:val="yellow"/>
        </w:rPr>
        <w:t>:</w:t>
      </w:r>
    </w:p>
    <w:p w14:paraId="6528E691" w14:textId="77777777" w:rsidR="00D2423E" w:rsidRPr="00DF14E3"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10.1 : langue de la documentation ;</w:t>
      </w:r>
    </w:p>
    <w:p w14:paraId="6D222D9A" w14:textId="77777777" w:rsidR="00D2423E" w:rsidRPr="00DF14E3"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16.2: obligation d’effacer, à la fin du contrat, les données traitées par le prestataire pour le compte du bénéficiaire de prestations ;</w:t>
      </w:r>
    </w:p>
    <w:p w14:paraId="533C607C" w14:textId="77777777" w:rsidR="00D2423E" w:rsidRPr="00DF14E3"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20.6 et 31 : garantie ;</w:t>
      </w:r>
    </w:p>
    <w:p w14:paraId="4E4E527B" w14:textId="77777777" w:rsidR="00D2423E" w:rsidRPr="00DF14E3"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7.1 : traitement de données par le prestataire pour le compte du bénéficiaire de prestations dans une zone géographique autre que la Suisse ;</w:t>
      </w:r>
    </w:p>
    <w:p w14:paraId="2DBF25EE" w14:textId="77777777" w:rsidR="00D2423E" w:rsidRPr="00DF14E3"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26 : droit applicable et for.</w:t>
      </w:r>
      <w:r>
        <w:rPr>
          <w:rFonts w:asciiTheme="minorHAnsi" w:hAnsiTheme="minorHAnsi"/>
          <w:i/>
        </w:rPr>
        <w:t>]</w:t>
      </w:r>
    </w:p>
    <w:p w14:paraId="191EEEDC" w14:textId="3B2BF73B" w:rsidR="003864B9" w:rsidRPr="00DF14E3" w:rsidRDefault="00F92196" w:rsidP="000B0977">
      <w:pPr>
        <w:pStyle w:val="SIK-berschrift1"/>
      </w:pPr>
      <w:bookmarkStart w:id="14" w:name="_Toc197703056"/>
      <w:r>
        <w:t xml:space="preserve">15. </w:t>
      </w:r>
      <w:r>
        <w:tab/>
        <w:t>Dispositions finales</w:t>
      </w:r>
      <w:bookmarkEnd w:id="14"/>
    </w:p>
    <w:p w14:paraId="52BE27C4"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Forme écrite</w:t>
      </w:r>
    </w:p>
    <w:p w14:paraId="64086CBB"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Pour être valables, les modifications du présent contrat ainsi que celles de ses annexes et éléments constitutifs, doivent être effectuées en la forme écrite. Elles doivent aussi renvoyer au présent contrat et être assorties d’une signature juridiquement valable des deux parties contractantes.</w:t>
      </w:r>
    </w:p>
    <w:p w14:paraId="32403CAB"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 xml:space="preserve">Transparence </w:t>
      </w:r>
    </w:p>
    <w:p w14:paraId="656433D3" w14:textId="77777777" w:rsidR="003864B9" w:rsidRPr="00DF14E3" w:rsidRDefault="003864B9" w:rsidP="003F4CC9">
      <w:pPr>
        <w:tabs>
          <w:tab w:val="left" w:pos="708"/>
        </w:tabs>
        <w:spacing w:before="120" w:after="120" w:line="320" w:lineRule="exact"/>
        <w:ind w:left="420" w:firstLine="6"/>
        <w:jc w:val="both"/>
        <w:rPr>
          <w:rFonts w:asciiTheme="minorHAnsi" w:hAnsiTheme="minorHAnsi"/>
        </w:rPr>
      </w:pPr>
      <w:r>
        <w:rPr>
          <w:rFonts w:asciiTheme="minorHAnsi" w:hAnsiTheme="minorHAnsi"/>
        </w:rPr>
        <w:t>Les parties contractantes connaissent les obligations fixées aux ch. 15 et 16 des CG 2025 de l’ANS. Elles savent donc que les administrations publiques sont légalement soumises au principe de transparence en Suisse et que les devoirs de confidentialité existants peuvent par conséquent être restreints.</w:t>
      </w:r>
    </w:p>
    <w:p w14:paraId="730FE041" w14:textId="77777777" w:rsidR="003C04E5" w:rsidRDefault="003C04E5">
      <w:pPr>
        <w:tabs>
          <w:tab w:val="clear" w:pos="426"/>
          <w:tab w:val="clear" w:pos="851"/>
          <w:tab w:val="clear" w:pos="1276"/>
          <w:tab w:val="clear" w:pos="5216"/>
          <w:tab w:val="clear" w:pos="7938"/>
          <w:tab w:val="clear" w:pos="9299"/>
        </w:tabs>
        <w:spacing w:after="200" w:line="276" w:lineRule="auto"/>
        <w:rPr>
          <w:rFonts w:asciiTheme="minorHAnsi" w:hAnsiTheme="minorHAnsi"/>
          <w:u w:val="single"/>
        </w:rPr>
      </w:pPr>
      <w:r>
        <w:rPr>
          <w:rFonts w:asciiTheme="minorHAnsi" w:hAnsiTheme="minorHAnsi"/>
          <w:u w:val="single"/>
        </w:rPr>
        <w:br w:type="page"/>
      </w:r>
    </w:p>
    <w:p w14:paraId="50251F56" w14:textId="622CFDC2"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lastRenderedPageBreak/>
        <w:t>Nullité partielle</w:t>
      </w:r>
    </w:p>
    <w:p w14:paraId="3B2FFF7B"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La nullité ou l’invalidité de certaines clauses du présent contrat, de ses annexes ou de ses éléments constitutifs ne remet pas en cause l’application des autres clauses. Dans ce cas, les clauses nulles ou juridiquement non valables sont remplacées par des clauses juridiquement valables qui, dans la mesure où le droit le permet, ont une incidence économique aussi semblable que possible à celle des clauses réputées nulles ou juridiquement non valables.</w:t>
      </w:r>
    </w:p>
    <w:p w14:paraId="3B68F856"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w:t>
      </w:r>
    </w:p>
    <w:p w14:paraId="450BCF3D" w14:textId="77777777" w:rsidR="00891EBB" w:rsidRPr="00DF14E3" w:rsidRDefault="003864B9" w:rsidP="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En cas de différend, les parties contractantes s’engagent à tenter de bonne foi de trouver un accord à l’amiable. Les différends peuvent toutefois être réglés d’une autre manière dans les cas suivants : (i) une des parties contractantes risque de perdre sa possibilité d’obtenir des mesures provisionnelles ou de faire valoir son droit à des mesures de ce genre, (ii) une des parties contractantes risque de subir d’autres inconvénients majeurs à cause des négociations, ou (iii) les parties contractantes ne parviennent pas à trouver un accord à l’amiable ou des motifs objectifs excluent d’emblée tout accord à l’amiable.</w:t>
      </w:r>
    </w:p>
    <w:p w14:paraId="711A2263" w14:textId="77777777" w:rsidR="00891EBB" w:rsidRPr="00DF14E3" w:rsidRDefault="00891EBB" w:rsidP="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Conformément au ch. 26 des CG 2025 de l’ANS, le droit suisse s’applique au présent contrat. Les dispositions de la Convention de Vienne (Convention des Nations Unies sur les contrats de vente internationale de marchandises, conclue à Vienne le 11 avril 1980) sont exclues. Le for exclusif est le siège du bénéficiaire de prestations.</w:t>
      </w:r>
    </w:p>
    <w:p w14:paraId="12A617E5" w14:textId="77777777" w:rsidR="003864B9" w:rsidRPr="00DF14E3"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8EF5D46"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Le présent contrat et ses annexes sont établis en deux exemplaires.</w:t>
      </w:r>
    </w:p>
    <w:p w14:paraId="61D9F8EE"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22FACA3"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9FEAB73"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Signatures</w:t>
      </w:r>
    </w:p>
    <w:p w14:paraId="3A044A80"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51AAD44F" w14:textId="77777777" w:rsidR="008C7ECE" w:rsidRPr="00DF14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Lieu, date :</w:t>
      </w:r>
      <w:r>
        <w:rPr>
          <w:rFonts w:asciiTheme="minorHAnsi" w:hAnsiTheme="minorHAnsi"/>
        </w:rPr>
        <w:tab/>
        <w:t>Lieu, date :</w:t>
      </w:r>
    </w:p>
    <w:p w14:paraId="219FC34D" w14:textId="77777777" w:rsidR="008C7ECE" w:rsidRPr="00DF14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09142A55" w14:textId="77777777" w:rsidR="008C7ECE" w:rsidRPr="00DF14E3" w:rsidRDefault="008C7ECE" w:rsidP="003F4CC9">
      <w:pPr>
        <w:pStyle w:val="Retraitnormal"/>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5A8ABAF" w14:textId="77777777" w:rsidR="008C7ECE" w:rsidRPr="00DF14E3"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Le bénéficiaire de prestations :</w:t>
      </w:r>
      <w:r>
        <w:rPr>
          <w:rFonts w:asciiTheme="minorHAnsi" w:hAnsiTheme="minorHAnsi"/>
        </w:rPr>
        <w:tab/>
        <w:t>Le prestataire :</w:t>
      </w:r>
    </w:p>
    <w:p w14:paraId="12CF4A3E" w14:textId="77777777" w:rsidR="00C42171" w:rsidRPr="00DF14E3" w:rsidRDefault="00C42171" w:rsidP="003F4CC9">
      <w:pPr>
        <w:spacing w:before="120" w:after="120" w:line="320" w:lineRule="exact"/>
        <w:jc w:val="both"/>
        <w:rPr>
          <w:rFonts w:asciiTheme="minorHAnsi" w:hAnsiTheme="minorHAnsi"/>
        </w:rPr>
      </w:pPr>
    </w:p>
    <w:p w14:paraId="355FF50E" w14:textId="77777777" w:rsidR="00636A55" w:rsidRPr="00DF14E3" w:rsidRDefault="00010596" w:rsidP="00010596">
      <w:pPr>
        <w:tabs>
          <w:tab w:val="clear" w:pos="426"/>
          <w:tab w:val="clear" w:pos="1276"/>
          <w:tab w:val="clear" w:pos="5216"/>
          <w:tab w:val="clear" w:pos="7938"/>
          <w:tab w:val="clear" w:pos="9299"/>
        </w:tabs>
        <w:spacing w:before="120" w:after="120" w:line="320" w:lineRule="exact"/>
        <w:jc w:val="both"/>
      </w:pPr>
      <w:r>
        <w:tab/>
      </w:r>
    </w:p>
    <w:sectPr w:rsidR="00636A55" w:rsidRPr="00DF14E3">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D3A6" w14:textId="77777777" w:rsidR="00D503A9" w:rsidRDefault="00D503A9" w:rsidP="00D224C7">
      <w:r>
        <w:separator/>
      </w:r>
    </w:p>
  </w:endnote>
  <w:endnote w:type="continuationSeparator" w:id="0">
    <w:p w14:paraId="024EE19E" w14:textId="77777777" w:rsidR="00D503A9" w:rsidRDefault="00D503A9"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0856" w14:textId="77777777" w:rsidR="00D2423E" w:rsidRPr="009B32E3" w:rsidRDefault="00D2423E" w:rsidP="00F85C6B">
    <w:pPr>
      <w:pStyle w:val="Pieddepage"/>
      <w:pBdr>
        <w:top w:val="single" w:sz="4" w:space="0" w:color="auto"/>
      </w:pBdr>
      <w:tabs>
        <w:tab w:val="right" w:pos="9356"/>
      </w:tabs>
      <w:ind w:right="-2"/>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70026">
      <w:rPr>
        <w:rFonts w:ascii="Calibri" w:hAnsi="Calibri" w:cs="Calibri"/>
        <w:iCs/>
        <w:sz w:val="20"/>
        <w:lang w:val="de-CH"/>
      </w:rPr>
      <w:t>WPV-5-rev_20</w:t>
    </w:r>
    <w:r w:rsidR="00010596">
      <w:rPr>
        <w:rFonts w:ascii="Calibri" w:hAnsi="Calibri" w:cs="Calibri"/>
        <w:iCs/>
        <w:sz w:val="20"/>
        <w:lang w:val="de-CH"/>
      </w:rPr>
      <w:t>25</w:t>
    </w:r>
    <w:r w:rsidR="00270026">
      <w:rPr>
        <w:rFonts w:ascii="Calibri" w:hAnsi="Calibri" w:cs="Calibri"/>
        <w:iCs/>
        <w:sz w:val="20"/>
        <w:lang w:val="de-CH"/>
      </w:rPr>
      <w:t>.</w:t>
    </w:r>
    <w:r w:rsidR="00010596">
      <w:rPr>
        <w:rFonts w:ascii="Calibri" w:hAnsi="Calibri" w:cs="Calibri"/>
        <w:iCs/>
        <w:sz w:val="20"/>
        <w:lang w:val="de-CH"/>
      </w:rPr>
      <w:t>03</w:t>
    </w:r>
    <w:r w:rsidR="00270026">
      <w:rPr>
        <w:rFonts w:ascii="Calibri" w:hAnsi="Calibri" w:cs="Calibri"/>
        <w:iCs/>
        <w:sz w:val="20"/>
        <w:lang w:val="de-CH"/>
      </w:rPr>
      <w:t>.</w:t>
    </w:r>
    <w:r w:rsidR="00010596">
      <w:rPr>
        <w:rFonts w:ascii="Calibri" w:hAnsi="Calibri" w:cs="Calibri"/>
        <w:iCs/>
        <w:sz w:val="20"/>
        <w:lang w:val="de-CH"/>
      </w:rPr>
      <w:t>04</w:t>
    </w:r>
    <w:r>
      <w:rPr>
        <w:rFonts w:ascii="Calibri" w:hAnsi="Calibri" w:cs="Calibri"/>
        <w:iCs/>
        <w:sz w:val="20"/>
        <w:lang w:val="de-CH"/>
      </w:rPr>
      <w:fldChar w:fldCharType="end"/>
    </w:r>
    <w:r>
      <w:rPr>
        <w:rFonts w:ascii="Calibri" w:hAnsi="Calibri" w:cs="Calibri"/>
        <w:sz w:val="20"/>
      </w:rPr>
      <w:tab/>
    </w:r>
    <w:r>
      <w:rPr>
        <w:rFonts w:ascii="Calibri" w:hAnsi="Calibri" w:cs="Calibri"/>
        <w:sz w:val="20"/>
      </w:rPr>
      <w:tab/>
      <w:t>Page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2F4866">
      <w:rPr>
        <w:rFonts w:ascii="Calibri" w:hAnsi="Calibri" w:cs="Calibri"/>
        <w:iCs/>
        <w:sz w:val="20"/>
        <w:lang w:val="de-CH"/>
      </w:rPr>
      <w:t>9</w:t>
    </w:r>
    <w:r w:rsidRPr="002006EC">
      <w:rPr>
        <w:rFonts w:ascii="Calibri" w:hAnsi="Calibri" w:cs="Calibri"/>
        <w:iCs/>
        <w:sz w:val="20"/>
      </w:rPr>
      <w:fldChar w:fldCharType="end"/>
    </w:r>
    <w:r>
      <w:rPr>
        <w:rFonts w:ascii="Calibri" w:hAnsi="Calibri" w:cs="Calibri"/>
        <w:sz w:val="20"/>
      </w:rPr>
      <w:t xml:space="preserve"> de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2F4866">
      <w:rPr>
        <w:rFonts w:ascii="Calibri" w:hAnsi="Calibri" w:cs="Calibri"/>
        <w:iCs/>
        <w:sz w:val="20"/>
        <w:lang w:val="de-CH"/>
      </w:rPr>
      <w:t>9</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4AB5" w14:textId="77777777" w:rsidR="00D2423E" w:rsidRPr="00F85C6B" w:rsidRDefault="00D2423E" w:rsidP="00F85C6B">
    <w:pPr>
      <w:pStyle w:val="Pieddepage"/>
      <w:pBdr>
        <w:top w:val="single" w:sz="4" w:space="0" w:color="auto"/>
      </w:pBdr>
      <w:tabs>
        <w:tab w:val="right" w:pos="9356"/>
      </w:tabs>
      <w:ind w:right="-2"/>
      <w:rPr>
        <w:rFonts w:asciiTheme="minorHAnsi" w:hAnsiTheme="minorHAnsi"/>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270026">
      <w:rPr>
        <w:rFonts w:asciiTheme="minorHAnsi" w:hAnsiTheme="minorHAnsi" w:cs="Calibri"/>
        <w:iCs/>
        <w:sz w:val="20"/>
        <w:lang w:val="de-CH"/>
      </w:rPr>
      <w:t>WPV-5-rev_20</w:t>
    </w:r>
    <w:r w:rsidR="00E824C0">
      <w:rPr>
        <w:rFonts w:asciiTheme="minorHAnsi" w:hAnsiTheme="minorHAnsi" w:cs="Calibri"/>
        <w:iCs/>
        <w:sz w:val="20"/>
        <w:lang w:val="de-CH"/>
      </w:rPr>
      <w:t>25</w:t>
    </w:r>
    <w:r w:rsidR="00270026">
      <w:rPr>
        <w:rFonts w:asciiTheme="minorHAnsi" w:hAnsiTheme="minorHAnsi" w:cs="Calibri"/>
        <w:iCs/>
        <w:sz w:val="20"/>
        <w:lang w:val="de-CH"/>
      </w:rPr>
      <w:t>.</w:t>
    </w:r>
    <w:r w:rsidR="00777116">
      <w:rPr>
        <w:rFonts w:asciiTheme="minorHAnsi" w:hAnsiTheme="minorHAnsi" w:cs="Calibri"/>
        <w:iCs/>
        <w:sz w:val="20"/>
        <w:lang w:val="de-CH"/>
      </w:rPr>
      <w:t>03</w:t>
    </w:r>
    <w:r w:rsidR="00270026">
      <w:rPr>
        <w:rFonts w:asciiTheme="minorHAnsi" w:hAnsiTheme="minorHAnsi" w:cs="Calibri"/>
        <w:iCs/>
        <w:sz w:val="20"/>
        <w:lang w:val="de-CH"/>
      </w:rPr>
      <w:t>.</w:t>
    </w:r>
    <w:r w:rsidR="00777116">
      <w:rPr>
        <w:rFonts w:asciiTheme="minorHAnsi" w:hAnsiTheme="minorHAnsi" w:cs="Calibri"/>
        <w:iCs/>
        <w:sz w:val="20"/>
        <w:lang w:val="de-CH"/>
      </w:rPr>
      <w:t>04</w:t>
    </w:r>
    <w:r w:rsidRPr="00F85C6B">
      <w:rPr>
        <w:rFonts w:asciiTheme="minorHAnsi" w:hAnsiTheme="minorHAnsi" w:cs="Calibri"/>
        <w:iCs/>
        <w:sz w:val="20"/>
        <w:lang w:val="de-CH"/>
      </w:rPr>
      <w:fldChar w:fldCharType="end"/>
    </w:r>
    <w:r>
      <w:rPr>
        <w:rFonts w:asciiTheme="minorHAnsi" w:hAnsiTheme="minorHAnsi" w:cs="Calibri"/>
        <w:sz w:val="20"/>
      </w:rPr>
      <w:tab/>
    </w:r>
    <w:r>
      <w:rPr>
        <w:rFonts w:asciiTheme="minorHAnsi" w:hAnsiTheme="minorHAnsi" w:cs="Calibri"/>
        <w:sz w:val="20"/>
      </w:rPr>
      <w:tab/>
      <w:t>Page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2F4866">
      <w:rPr>
        <w:rFonts w:asciiTheme="minorHAnsi" w:hAnsiTheme="minorHAnsi" w:cs="Calibri"/>
        <w:iCs/>
        <w:sz w:val="20"/>
        <w:lang w:val="de-CH"/>
      </w:rPr>
      <w:t>1</w:t>
    </w:r>
    <w:r w:rsidRPr="00F85C6B">
      <w:rPr>
        <w:rFonts w:asciiTheme="minorHAnsi" w:hAnsiTheme="minorHAnsi" w:cs="Calibri"/>
        <w:iCs/>
        <w:sz w:val="20"/>
      </w:rPr>
      <w:fldChar w:fldCharType="end"/>
    </w:r>
    <w:r>
      <w:rPr>
        <w:rFonts w:asciiTheme="minorHAnsi" w:hAnsiTheme="minorHAnsi" w:cs="Calibri"/>
        <w:sz w:val="20"/>
      </w:rPr>
      <w:t xml:space="preserve"> de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2F4866">
      <w:rPr>
        <w:rFonts w:asciiTheme="minorHAnsi" w:hAnsiTheme="minorHAnsi" w:cs="Calibri"/>
        <w:iCs/>
        <w:sz w:val="20"/>
        <w:lang w:val="de-CH"/>
      </w:rPr>
      <w:t>9</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A827" w14:textId="77777777" w:rsidR="00D503A9" w:rsidRDefault="00D503A9" w:rsidP="00D224C7">
      <w:r>
        <w:separator/>
      </w:r>
    </w:p>
  </w:footnote>
  <w:footnote w:type="continuationSeparator" w:id="0">
    <w:p w14:paraId="0D469564" w14:textId="77777777" w:rsidR="00D503A9" w:rsidRDefault="00D503A9"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DD90" w14:textId="77777777" w:rsidR="00D2423E" w:rsidRPr="00F85C6B" w:rsidRDefault="00D2423E">
    <w:pPr>
      <w:pStyle w:val="En-tte"/>
      <w:pBdr>
        <w:bottom w:val="single" w:sz="6" w:space="1" w:color="auto"/>
      </w:pBdr>
      <w:rPr>
        <w:rFonts w:asciiTheme="minorHAnsi" w:hAnsiTheme="minorHAnsi"/>
        <w:sz w:val="20"/>
      </w:rPr>
    </w:pPr>
    <w:r>
      <w:rPr>
        <w:rFonts w:asciiTheme="minorHAnsi" w:hAnsiTheme="minorHAnsi"/>
        <w:sz w:val="20"/>
      </w:rPr>
      <w:tab/>
      <w:t>Contrat relatif à la maintenance de matériel informatique et à l’entretien de logiciels</w:t>
    </w:r>
  </w:p>
  <w:p w14:paraId="052ACC83" w14:textId="77777777" w:rsidR="00D2423E" w:rsidRDefault="00D242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2255937">
    <w:abstractNumId w:val="4"/>
  </w:num>
  <w:num w:numId="2" w16cid:durableId="923495831">
    <w:abstractNumId w:val="2"/>
  </w:num>
  <w:num w:numId="3" w16cid:durableId="502167652">
    <w:abstractNumId w:val="3"/>
  </w:num>
  <w:num w:numId="4" w16cid:durableId="1872374784">
    <w:abstractNumId w:val="1"/>
  </w:num>
  <w:num w:numId="5" w16cid:durableId="106464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2D9"/>
    <w:rsid w:val="00010596"/>
    <w:rsid w:val="00017FB0"/>
    <w:rsid w:val="00026BE3"/>
    <w:rsid w:val="0003366E"/>
    <w:rsid w:val="0004613B"/>
    <w:rsid w:val="00054214"/>
    <w:rsid w:val="00054F44"/>
    <w:rsid w:val="000674F8"/>
    <w:rsid w:val="00081D6C"/>
    <w:rsid w:val="000B0977"/>
    <w:rsid w:val="000B4AB4"/>
    <w:rsid w:val="000B59EC"/>
    <w:rsid w:val="000B7E63"/>
    <w:rsid w:val="000C282A"/>
    <w:rsid w:val="000E3C56"/>
    <w:rsid w:val="000E59C2"/>
    <w:rsid w:val="000E6D21"/>
    <w:rsid w:val="0010088E"/>
    <w:rsid w:val="00117E97"/>
    <w:rsid w:val="00136AFE"/>
    <w:rsid w:val="00152B6F"/>
    <w:rsid w:val="00155508"/>
    <w:rsid w:val="001564DA"/>
    <w:rsid w:val="001916EB"/>
    <w:rsid w:val="00191F7E"/>
    <w:rsid w:val="0019259C"/>
    <w:rsid w:val="00192EF9"/>
    <w:rsid w:val="001A175C"/>
    <w:rsid w:val="001A3F02"/>
    <w:rsid w:val="001C6A5C"/>
    <w:rsid w:val="001C7BD4"/>
    <w:rsid w:val="001E0476"/>
    <w:rsid w:val="001E15FF"/>
    <w:rsid w:val="00231170"/>
    <w:rsid w:val="00243F7D"/>
    <w:rsid w:val="0024570D"/>
    <w:rsid w:val="002457C3"/>
    <w:rsid w:val="00246115"/>
    <w:rsid w:val="002609FF"/>
    <w:rsid w:val="0026548B"/>
    <w:rsid w:val="00270026"/>
    <w:rsid w:val="00272432"/>
    <w:rsid w:val="002B7926"/>
    <w:rsid w:val="002D34B4"/>
    <w:rsid w:val="002E2FAE"/>
    <w:rsid w:val="002E3E5F"/>
    <w:rsid w:val="002F4866"/>
    <w:rsid w:val="00311A09"/>
    <w:rsid w:val="003206DE"/>
    <w:rsid w:val="00326D44"/>
    <w:rsid w:val="00327436"/>
    <w:rsid w:val="00335D8E"/>
    <w:rsid w:val="00340982"/>
    <w:rsid w:val="00342D99"/>
    <w:rsid w:val="0034671D"/>
    <w:rsid w:val="003679CA"/>
    <w:rsid w:val="00372900"/>
    <w:rsid w:val="003864B9"/>
    <w:rsid w:val="003A3A1A"/>
    <w:rsid w:val="003C04E5"/>
    <w:rsid w:val="003E1951"/>
    <w:rsid w:val="003F4CC9"/>
    <w:rsid w:val="004125B0"/>
    <w:rsid w:val="004150DA"/>
    <w:rsid w:val="00415CC7"/>
    <w:rsid w:val="00423631"/>
    <w:rsid w:val="004420B0"/>
    <w:rsid w:val="00452AD2"/>
    <w:rsid w:val="004A64B1"/>
    <w:rsid w:val="004A7767"/>
    <w:rsid w:val="004D76C7"/>
    <w:rsid w:val="004E2AC6"/>
    <w:rsid w:val="005141DE"/>
    <w:rsid w:val="00530E7D"/>
    <w:rsid w:val="00547E43"/>
    <w:rsid w:val="00555842"/>
    <w:rsid w:val="00583F4A"/>
    <w:rsid w:val="005C2DB8"/>
    <w:rsid w:val="005E61E4"/>
    <w:rsid w:val="005F0A2C"/>
    <w:rsid w:val="00636A55"/>
    <w:rsid w:val="006510E7"/>
    <w:rsid w:val="0065399D"/>
    <w:rsid w:val="006544C8"/>
    <w:rsid w:val="006830FA"/>
    <w:rsid w:val="00687E11"/>
    <w:rsid w:val="006B6843"/>
    <w:rsid w:val="006D01FE"/>
    <w:rsid w:val="006E7A31"/>
    <w:rsid w:val="006F3A3C"/>
    <w:rsid w:val="00704686"/>
    <w:rsid w:val="007155A0"/>
    <w:rsid w:val="0073417F"/>
    <w:rsid w:val="00734D5C"/>
    <w:rsid w:val="00736B5E"/>
    <w:rsid w:val="0074541A"/>
    <w:rsid w:val="00756B8F"/>
    <w:rsid w:val="00761020"/>
    <w:rsid w:val="00777116"/>
    <w:rsid w:val="0077778D"/>
    <w:rsid w:val="00780125"/>
    <w:rsid w:val="00784C07"/>
    <w:rsid w:val="00785E72"/>
    <w:rsid w:val="007B0426"/>
    <w:rsid w:val="007B104D"/>
    <w:rsid w:val="007C0800"/>
    <w:rsid w:val="007D56D9"/>
    <w:rsid w:val="00803EDC"/>
    <w:rsid w:val="00804CA5"/>
    <w:rsid w:val="008163C9"/>
    <w:rsid w:val="00817099"/>
    <w:rsid w:val="00830A13"/>
    <w:rsid w:val="00853F68"/>
    <w:rsid w:val="00855B32"/>
    <w:rsid w:val="00857545"/>
    <w:rsid w:val="00875AA8"/>
    <w:rsid w:val="00891EBB"/>
    <w:rsid w:val="008A0334"/>
    <w:rsid w:val="008A7EC4"/>
    <w:rsid w:val="008B7609"/>
    <w:rsid w:val="008C09F3"/>
    <w:rsid w:val="008C7ECE"/>
    <w:rsid w:val="009013F0"/>
    <w:rsid w:val="0092297E"/>
    <w:rsid w:val="00951DF9"/>
    <w:rsid w:val="00986F69"/>
    <w:rsid w:val="009A18A9"/>
    <w:rsid w:val="009B32E3"/>
    <w:rsid w:val="009C745E"/>
    <w:rsid w:val="009D4F12"/>
    <w:rsid w:val="009D5CB0"/>
    <w:rsid w:val="009E0992"/>
    <w:rsid w:val="009F05B0"/>
    <w:rsid w:val="00A1799E"/>
    <w:rsid w:val="00A46F33"/>
    <w:rsid w:val="00A50044"/>
    <w:rsid w:val="00A606D8"/>
    <w:rsid w:val="00A66BE1"/>
    <w:rsid w:val="00A77B41"/>
    <w:rsid w:val="00A9375E"/>
    <w:rsid w:val="00A93860"/>
    <w:rsid w:val="00AA05E1"/>
    <w:rsid w:val="00AD77AB"/>
    <w:rsid w:val="00AE404E"/>
    <w:rsid w:val="00B008A8"/>
    <w:rsid w:val="00B02596"/>
    <w:rsid w:val="00B05F95"/>
    <w:rsid w:val="00B065E2"/>
    <w:rsid w:val="00B30866"/>
    <w:rsid w:val="00B87977"/>
    <w:rsid w:val="00B91166"/>
    <w:rsid w:val="00B92895"/>
    <w:rsid w:val="00BC42AD"/>
    <w:rsid w:val="00BC46B8"/>
    <w:rsid w:val="00BC66C4"/>
    <w:rsid w:val="00BD11C4"/>
    <w:rsid w:val="00BD150E"/>
    <w:rsid w:val="00BD28F1"/>
    <w:rsid w:val="00BF317E"/>
    <w:rsid w:val="00C26FDC"/>
    <w:rsid w:val="00C27CEF"/>
    <w:rsid w:val="00C32C78"/>
    <w:rsid w:val="00C42171"/>
    <w:rsid w:val="00C577A7"/>
    <w:rsid w:val="00CB02EB"/>
    <w:rsid w:val="00CB3DB3"/>
    <w:rsid w:val="00CB5D4A"/>
    <w:rsid w:val="00CD6A3B"/>
    <w:rsid w:val="00CD6D58"/>
    <w:rsid w:val="00CE0E4A"/>
    <w:rsid w:val="00CF463F"/>
    <w:rsid w:val="00D111BD"/>
    <w:rsid w:val="00D224C7"/>
    <w:rsid w:val="00D2423E"/>
    <w:rsid w:val="00D42D71"/>
    <w:rsid w:val="00D503A9"/>
    <w:rsid w:val="00D55E73"/>
    <w:rsid w:val="00DA2677"/>
    <w:rsid w:val="00DA3C03"/>
    <w:rsid w:val="00DD2049"/>
    <w:rsid w:val="00DD643A"/>
    <w:rsid w:val="00DF14E3"/>
    <w:rsid w:val="00DF7101"/>
    <w:rsid w:val="00E03C7D"/>
    <w:rsid w:val="00E33B34"/>
    <w:rsid w:val="00E34DE5"/>
    <w:rsid w:val="00E824C0"/>
    <w:rsid w:val="00EA6C7C"/>
    <w:rsid w:val="00EC0E62"/>
    <w:rsid w:val="00EC3266"/>
    <w:rsid w:val="00EF0B6E"/>
    <w:rsid w:val="00EF1844"/>
    <w:rsid w:val="00EF5482"/>
    <w:rsid w:val="00EF7605"/>
    <w:rsid w:val="00F01D90"/>
    <w:rsid w:val="00F03651"/>
    <w:rsid w:val="00F17F02"/>
    <w:rsid w:val="00F40891"/>
    <w:rsid w:val="00F54875"/>
    <w:rsid w:val="00F85C6B"/>
    <w:rsid w:val="00F91EC7"/>
    <w:rsid w:val="00F92196"/>
    <w:rsid w:val="00FA1BD4"/>
    <w:rsid w:val="00FB0670"/>
    <w:rsid w:val="00FB5236"/>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C756"/>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re1">
    <w:name w:val="heading 1"/>
    <w:basedOn w:val="Normal"/>
    <w:next w:val="Normal"/>
    <w:link w:val="Titre1C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8C7ECE"/>
    <w:pPr>
      <w:ind w:left="426" w:hanging="426"/>
    </w:pPr>
  </w:style>
  <w:style w:type="paragraph" w:styleId="TM1">
    <w:name w:val="toc 1"/>
    <w:basedOn w:val="Normal"/>
    <w:next w:val="Normal"/>
    <w:uiPriority w:val="39"/>
    <w:rsid w:val="008C7ECE"/>
    <w:pPr>
      <w:tabs>
        <w:tab w:val="clear" w:pos="1276"/>
        <w:tab w:val="clear" w:pos="5216"/>
        <w:tab w:val="clear" w:pos="7938"/>
        <w:tab w:val="right" w:leader="dot" w:pos="9299"/>
      </w:tabs>
      <w:spacing w:before="120"/>
    </w:pPr>
  </w:style>
  <w:style w:type="paragraph" w:styleId="Pieddepage">
    <w:name w:val="footer"/>
    <w:basedOn w:val="Normal"/>
    <w:link w:val="PieddepageCar"/>
    <w:rsid w:val="008C7ECE"/>
    <w:pPr>
      <w:tabs>
        <w:tab w:val="clear" w:pos="7938"/>
      </w:tabs>
    </w:pPr>
    <w:rPr>
      <w:noProof/>
      <w:sz w:val="12"/>
    </w:rPr>
  </w:style>
  <w:style w:type="character" w:customStyle="1" w:styleId="PieddepageCar">
    <w:name w:val="Pied de page Car"/>
    <w:basedOn w:val="Policepardfaut"/>
    <w:link w:val="Pieddepage"/>
    <w:rsid w:val="008C7ECE"/>
    <w:rPr>
      <w:rFonts w:ascii="Arial" w:eastAsia="Times New Roman" w:hAnsi="Arial" w:cs="Times New Roman"/>
      <w:noProof/>
      <w:sz w:val="12"/>
      <w:szCs w:val="20"/>
      <w:lang w:val="fr-CH" w:eastAsia="de-DE"/>
    </w:rPr>
  </w:style>
  <w:style w:type="paragraph" w:styleId="En-tte">
    <w:name w:val="header"/>
    <w:basedOn w:val="Normal"/>
    <w:link w:val="En-tteCar"/>
    <w:semiHidden/>
    <w:rsid w:val="008C7ECE"/>
    <w:pPr>
      <w:tabs>
        <w:tab w:val="clear" w:pos="426"/>
        <w:tab w:val="clear" w:pos="851"/>
        <w:tab w:val="clear" w:pos="1276"/>
        <w:tab w:val="clear" w:pos="5216"/>
        <w:tab w:val="clear" w:pos="7938"/>
      </w:tabs>
    </w:pPr>
  </w:style>
  <w:style w:type="character" w:customStyle="1" w:styleId="En-tteCar">
    <w:name w:val="En-tête Car"/>
    <w:basedOn w:val="Policepardfaut"/>
    <w:link w:val="En-tte"/>
    <w:semiHidden/>
    <w:rsid w:val="008C7ECE"/>
    <w:rPr>
      <w:rFonts w:ascii="Arial" w:eastAsia="Times New Roman" w:hAnsi="Arial" w:cs="Times New Roman"/>
      <w:szCs w:val="20"/>
      <w:lang w:val="fr-CH" w:eastAsia="de-DE"/>
    </w:rPr>
  </w:style>
  <w:style w:type="paragraph" w:customStyle="1" w:styleId="Aufzhlung1">
    <w:name w:val="Aufzählung1"/>
    <w:basedOn w:val="Normal"/>
    <w:next w:val="Normal"/>
    <w:rsid w:val="008C7ECE"/>
    <w:pPr>
      <w:ind w:left="426" w:hanging="426"/>
    </w:pPr>
  </w:style>
  <w:style w:type="character" w:customStyle="1" w:styleId="Titre1Car">
    <w:name w:val="Titre 1 Car"/>
    <w:basedOn w:val="Policepardfaut"/>
    <w:link w:val="Titre1"/>
    <w:uiPriority w:val="9"/>
    <w:rsid w:val="004A64B1"/>
    <w:rPr>
      <w:rFonts w:ascii="Arial" w:eastAsia="Times New Roman" w:hAnsi="Arial" w:cs="Times New Roman"/>
      <w:b/>
      <w:szCs w:val="20"/>
      <w:lang w:val="fr-CH" w:eastAsia="de-DE"/>
    </w:rPr>
  </w:style>
  <w:style w:type="character" w:styleId="Lienhypertexte">
    <w:name w:val="Hyperlink"/>
    <w:basedOn w:val="Policepardfaut"/>
    <w:uiPriority w:val="99"/>
    <w:unhideWhenUsed/>
    <w:rsid w:val="004A64B1"/>
    <w:rPr>
      <w:color w:val="0000FF" w:themeColor="hyperlink"/>
      <w:u w:val="single"/>
    </w:rPr>
  </w:style>
  <w:style w:type="paragraph" w:styleId="Paragraphedeliste">
    <w:name w:val="List Paragraph"/>
    <w:basedOn w:val="Normal"/>
    <w:uiPriority w:val="34"/>
    <w:qFormat/>
    <w:rsid w:val="00EC0E62"/>
    <w:pPr>
      <w:ind w:left="720"/>
      <w:contextualSpacing/>
    </w:pPr>
  </w:style>
  <w:style w:type="paragraph" w:styleId="Textedebulles">
    <w:name w:val="Balloon Text"/>
    <w:basedOn w:val="Normal"/>
    <w:link w:val="TextedebullesCar"/>
    <w:uiPriority w:val="99"/>
    <w:semiHidden/>
    <w:unhideWhenUsed/>
    <w:rsid w:val="007C0800"/>
    <w:rPr>
      <w:rFonts w:ascii="Tahoma" w:hAnsi="Tahoma" w:cs="Tahoma"/>
      <w:sz w:val="16"/>
      <w:szCs w:val="16"/>
    </w:rPr>
  </w:style>
  <w:style w:type="character" w:customStyle="1" w:styleId="TextedebullesCar">
    <w:name w:val="Texte de bulles Car"/>
    <w:basedOn w:val="Policepardfaut"/>
    <w:link w:val="Textedebulles"/>
    <w:uiPriority w:val="99"/>
    <w:semiHidden/>
    <w:rsid w:val="007C0800"/>
    <w:rPr>
      <w:rFonts w:ascii="Tahoma" w:eastAsia="Times New Roman" w:hAnsi="Tahoma" w:cs="Tahoma"/>
      <w:sz w:val="16"/>
      <w:szCs w:val="16"/>
      <w:lang w:val="fr-CH" w:eastAsia="de-DE"/>
    </w:rPr>
  </w:style>
  <w:style w:type="paragraph" w:customStyle="1" w:styleId="SIK-berschrift1">
    <w:name w:val="SIK-Überschrift 1"/>
    <w:basedOn w:val="Titre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Titre1Car"/>
    <w:link w:val="SIK-berschrift1"/>
    <w:rsid w:val="000B0977"/>
    <w:rPr>
      <w:rFonts w:ascii="Arial" w:eastAsia="Times New Roman" w:hAnsi="Arial" w:cs="Times New Roman"/>
      <w:b/>
      <w:szCs w:val="20"/>
      <w:lang w:val="fr-CH" w:eastAsia="de-DE"/>
    </w:rPr>
  </w:style>
  <w:style w:type="character" w:styleId="Marquedecommentaire">
    <w:name w:val="annotation reference"/>
    <w:basedOn w:val="Policepardfaut"/>
    <w:uiPriority w:val="99"/>
    <w:semiHidden/>
    <w:unhideWhenUsed/>
    <w:rsid w:val="005E61E4"/>
    <w:rPr>
      <w:sz w:val="16"/>
      <w:szCs w:val="16"/>
    </w:rPr>
  </w:style>
  <w:style w:type="paragraph" w:styleId="Commentaire">
    <w:name w:val="annotation text"/>
    <w:basedOn w:val="Normal"/>
    <w:link w:val="CommentaireCar"/>
    <w:uiPriority w:val="99"/>
    <w:semiHidden/>
    <w:unhideWhenUsed/>
    <w:rsid w:val="005E61E4"/>
    <w:rPr>
      <w:sz w:val="20"/>
    </w:rPr>
  </w:style>
  <w:style w:type="character" w:customStyle="1" w:styleId="CommentaireCar">
    <w:name w:val="Commentaire Car"/>
    <w:basedOn w:val="Policepardfaut"/>
    <w:link w:val="Commentaire"/>
    <w:uiPriority w:val="99"/>
    <w:semiHidden/>
    <w:rsid w:val="005E61E4"/>
    <w:rPr>
      <w:rFonts w:ascii="Arial" w:eastAsia="Times New Roman" w:hAnsi="Arial" w:cs="Times New Roman"/>
      <w:sz w:val="20"/>
      <w:szCs w:val="20"/>
      <w:lang w:val="fr-CH" w:eastAsia="de-DE"/>
    </w:rPr>
  </w:style>
  <w:style w:type="paragraph" w:styleId="Objetducommentaire">
    <w:name w:val="annotation subject"/>
    <w:basedOn w:val="Commentaire"/>
    <w:next w:val="Commentaire"/>
    <w:link w:val="ObjetducommentaireCar"/>
    <w:uiPriority w:val="99"/>
    <w:semiHidden/>
    <w:unhideWhenUsed/>
    <w:rsid w:val="005E61E4"/>
    <w:rPr>
      <w:b/>
      <w:bCs/>
    </w:rPr>
  </w:style>
  <w:style w:type="character" w:customStyle="1" w:styleId="ObjetducommentaireCar">
    <w:name w:val="Objet du commentaire Car"/>
    <w:basedOn w:val="CommentaireCar"/>
    <w:link w:val="Objetducommentaire"/>
    <w:uiPriority w:val="99"/>
    <w:semiHidden/>
    <w:rsid w:val="005E61E4"/>
    <w:rPr>
      <w:rFonts w:ascii="Arial" w:eastAsia="Times New Roman" w:hAnsi="Arial" w:cs="Times New Roman"/>
      <w:b/>
      <w:bCs/>
      <w:sz w:val="20"/>
      <w:szCs w:val="20"/>
      <w:lang w:val="fr-CH" w:eastAsia="de-DE"/>
    </w:rPr>
  </w:style>
  <w:style w:type="paragraph" w:styleId="Rvision">
    <w:name w:val="Revision"/>
    <w:hidden/>
    <w:uiPriority w:val="99"/>
    <w:semiHidden/>
    <w:rsid w:val="00A93860"/>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A12D2E42-179E-4341-889D-257D5AD5AFF1}">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6FBE4FEA-18D0-4A0A-B2FE-508905F8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3.xml><?xml version="1.0" encoding="utf-8"?>
<ds:datastoreItem xmlns:ds="http://schemas.openxmlformats.org/officeDocument/2006/customXml" ds:itemID="{04F7479E-FC20-4FD4-924B-241927DD38FB}">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6D8EBDC2-5CB0-4922-9BF7-F3CBE7E13FDD}">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3072</Words>
  <Characters>16898</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Vertragsvorlage für die Wartung von Hardware und die Pflege von Software</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die Wartung von Hardware und die Pflege von Software</dc:title>
  <dc:creator>Andreas Marti</dc:creator>
  <dc:description>20250305</dc:description>
  <cp:lastModifiedBy>Dessimoz Laetitia GS-EFD</cp:lastModifiedBy>
  <cp:revision>38</cp:revision>
  <cp:lastPrinted>2019-12-19T15:58:00Z</cp:lastPrinted>
  <dcterms:created xsi:type="dcterms:W3CDTF">2019-12-10T17:29:00Z</dcterms:created>
  <dcterms:modified xsi:type="dcterms:W3CDTF">2025-05-09T16:06:00Z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2025-03-25T08:40:06Z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eacba4ca-4f4f-4c6e-b438-218fd932642c</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